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648F" w:rsidRDefault="00FD648F" w:rsidP="00FD648F">
      <w:pPr>
        <w:pStyle w:val="Default"/>
        <w:spacing w:line="360" w:lineRule="auto"/>
        <w:jc w:val="center"/>
        <w:rPr>
          <w:rFonts w:ascii="Bookman Old Style" w:hAnsi="Bookman Old Style" w:cs="DDKAMK+Arial"/>
          <w:b/>
          <w:u w:val="single"/>
        </w:rPr>
      </w:pPr>
    </w:p>
    <w:p w:rsidR="00FD648F" w:rsidRPr="009C3961" w:rsidRDefault="00FD648F" w:rsidP="00FD648F">
      <w:pPr>
        <w:pStyle w:val="Default"/>
        <w:spacing w:line="360" w:lineRule="auto"/>
        <w:jc w:val="center"/>
        <w:rPr>
          <w:rFonts w:ascii="Bookman Old Style" w:hAnsi="Bookman Old Style" w:cs="DDKAMK+Arial"/>
          <w:b/>
          <w:u w:val="single"/>
        </w:rPr>
      </w:pPr>
      <w:r w:rsidRPr="009C3961">
        <w:rPr>
          <w:rFonts w:ascii="Bookman Old Style" w:hAnsi="Bookman Old Style" w:cs="DDKAMK+Arial"/>
          <w:b/>
          <w:u w:val="single"/>
        </w:rPr>
        <w:t>DICTAMEN TÉCNICO JURÍDICO</w:t>
      </w:r>
    </w:p>
    <w:p w:rsidR="00FD648F" w:rsidRPr="009C3961" w:rsidRDefault="00FD648F" w:rsidP="00FD648F">
      <w:pPr>
        <w:pStyle w:val="Default"/>
        <w:spacing w:line="360" w:lineRule="auto"/>
        <w:jc w:val="center"/>
        <w:rPr>
          <w:rFonts w:ascii="Bookman Old Style" w:hAnsi="Bookman Old Style" w:cs="DDKAMK+Arial"/>
          <w:b/>
          <w:u w:val="single"/>
        </w:rPr>
      </w:pPr>
      <w:r>
        <w:rPr>
          <w:rFonts w:ascii="Bookman Old Style" w:hAnsi="Bookman Old Style" w:cs="DDKAMK+Arial"/>
          <w:b/>
          <w:u w:val="single"/>
        </w:rPr>
        <w:t xml:space="preserve">DERECHO A LA CONSULTA Y PARTICIPACIÓN </w:t>
      </w:r>
    </w:p>
    <w:p w:rsidR="00FD648F" w:rsidRPr="009C3961" w:rsidRDefault="00FD648F" w:rsidP="00FD648F">
      <w:pPr>
        <w:pStyle w:val="Default"/>
        <w:spacing w:line="360" w:lineRule="auto"/>
        <w:jc w:val="both"/>
        <w:rPr>
          <w:rFonts w:ascii="Bookman Old Style" w:hAnsi="Bookman Old Style" w:cs="DDKAMK+Arial"/>
          <w:b/>
          <w:u w:val="single"/>
        </w:rPr>
      </w:pPr>
    </w:p>
    <w:p w:rsidR="00FD648F" w:rsidRPr="009C3961" w:rsidRDefault="00FD648F" w:rsidP="00FD648F">
      <w:pPr>
        <w:pStyle w:val="Ttulo4"/>
        <w:shd w:val="clear" w:color="auto" w:fill="FFFFFF"/>
        <w:spacing w:before="180" w:after="30"/>
        <w:rPr>
          <w:rFonts w:ascii="Bookman Old Style" w:hAnsi="Bookman Old Style" w:cs="DDKAMK+Arial"/>
          <w:b w:val="0"/>
          <w:i w:val="0"/>
          <w:color w:val="auto"/>
        </w:rPr>
      </w:pPr>
      <w:r w:rsidRPr="009C3961">
        <w:rPr>
          <w:rFonts w:ascii="Bookman Old Style" w:hAnsi="Bookman Old Style" w:cs="DDKAMK+Arial"/>
          <w:b w:val="0"/>
          <w:i w:val="0"/>
          <w:color w:val="auto"/>
        </w:rPr>
        <w:t>El presente tiene por objeto exclusivo emitir una opinión técnica jurídica acerca de los alcances generales del derecho a la consulta y participación de los pueblos indígenas</w:t>
      </w:r>
      <w:r>
        <w:rPr>
          <w:rFonts w:ascii="Bookman Old Style" w:hAnsi="Bookman Old Style" w:cs="DDKAMK+Arial"/>
          <w:b w:val="0"/>
          <w:i w:val="0"/>
          <w:color w:val="auto"/>
        </w:rPr>
        <w:t xml:space="preserve"> y estándares sobre derechos humanos de los pueblos originarios</w:t>
      </w:r>
      <w:r w:rsidRPr="009C3961">
        <w:rPr>
          <w:rFonts w:ascii="Bookman Old Style" w:hAnsi="Bookman Old Style" w:cs="DDKAMK+Arial"/>
          <w:b w:val="0"/>
          <w:i w:val="0"/>
          <w:color w:val="auto"/>
        </w:rPr>
        <w:t xml:space="preserve">, en el marco del caso “Comunidad </w:t>
      </w:r>
      <w:proofErr w:type="spellStart"/>
      <w:r w:rsidRPr="009C3961">
        <w:rPr>
          <w:rFonts w:ascii="Bookman Old Style" w:hAnsi="Bookman Old Style" w:cs="DDKAMK+Arial"/>
          <w:b w:val="0"/>
          <w:i w:val="0"/>
          <w:color w:val="auto"/>
        </w:rPr>
        <w:t>Lof</w:t>
      </w:r>
      <w:proofErr w:type="spellEnd"/>
      <w:r w:rsidRPr="009C3961">
        <w:rPr>
          <w:rFonts w:ascii="Bookman Old Style" w:hAnsi="Bookman Old Style" w:cs="DDKAMK+Arial"/>
          <w:b w:val="0"/>
          <w:i w:val="0"/>
          <w:color w:val="auto"/>
        </w:rPr>
        <w:t xml:space="preserve"> Campo </w:t>
      </w:r>
      <w:proofErr w:type="spellStart"/>
      <w:r w:rsidRPr="009C3961">
        <w:rPr>
          <w:rFonts w:ascii="Bookman Old Style" w:hAnsi="Bookman Old Style" w:cs="DDKAMK+Arial"/>
          <w:b w:val="0"/>
          <w:i w:val="0"/>
          <w:color w:val="auto"/>
        </w:rPr>
        <w:t>Maripe</w:t>
      </w:r>
      <w:proofErr w:type="spellEnd"/>
      <w:r w:rsidRPr="009C3961">
        <w:rPr>
          <w:rFonts w:ascii="Bookman Old Style" w:hAnsi="Bookman Old Style" w:cs="DDKAMK+Arial"/>
          <w:b w:val="0"/>
          <w:i w:val="0"/>
          <w:color w:val="auto"/>
        </w:rPr>
        <w:t xml:space="preserve"> (Loma de Campana) s/ habeas corpus” (</w:t>
      </w:r>
      <w:proofErr w:type="spellStart"/>
      <w:r w:rsidRPr="009C3961">
        <w:rPr>
          <w:rFonts w:ascii="Bookman Old Style" w:hAnsi="Bookman Old Style" w:cs="DDKAMK+Arial"/>
          <w:b w:val="0"/>
          <w:i w:val="0"/>
          <w:color w:val="auto"/>
        </w:rPr>
        <w:t>Expte</w:t>
      </w:r>
      <w:proofErr w:type="spellEnd"/>
      <w:r w:rsidRPr="009C3961">
        <w:rPr>
          <w:rFonts w:ascii="Bookman Old Style" w:hAnsi="Bookman Old Style" w:cs="DDKAMK+Arial"/>
          <w:b w:val="0"/>
          <w:i w:val="0"/>
          <w:color w:val="auto"/>
        </w:rPr>
        <w:t xml:space="preserve">. Nº </w:t>
      </w:r>
      <w:r w:rsidR="00DD4281">
        <w:rPr>
          <w:rFonts w:ascii="Bookman Old Style" w:hAnsi="Bookman Old Style" w:cs="DDKAMK+Arial"/>
          <w:b w:val="0"/>
          <w:i w:val="0"/>
          <w:color w:val="auto"/>
        </w:rPr>
        <w:t>XXXXXXXX XXXXXX</w:t>
      </w:r>
      <w:r w:rsidRPr="009C3961">
        <w:rPr>
          <w:rFonts w:ascii="Bookman Old Style" w:hAnsi="Bookman Old Style" w:cs="DDKAMK+Arial"/>
          <w:b w:val="0"/>
          <w:i w:val="0"/>
          <w:color w:val="auto"/>
        </w:rPr>
        <w:t xml:space="preserve"> </w:t>
      </w:r>
      <w:r>
        <w:rPr>
          <w:rFonts w:ascii="Bookman Old Style" w:hAnsi="Bookman Old Style" w:cs="DDKAMK+Arial"/>
          <w:b w:val="0"/>
          <w:i w:val="0"/>
          <w:color w:val="auto"/>
        </w:rPr>
        <w:t xml:space="preserve">para </w:t>
      </w:r>
      <w:r w:rsidRPr="009C3961">
        <w:rPr>
          <w:rFonts w:ascii="Bookman Old Style" w:hAnsi="Bookman Old Style" w:cs="DDKAMK+Arial"/>
          <w:b w:val="0"/>
          <w:i w:val="0"/>
          <w:color w:val="auto"/>
        </w:rPr>
        <w:t xml:space="preserve">la </w:t>
      </w:r>
      <w:r w:rsidRPr="009C3961">
        <w:rPr>
          <w:rFonts w:ascii="Bookman Old Style" w:hAnsi="Bookman Old Style" w:cs="Arial"/>
          <w:b w:val="0"/>
          <w:i w:val="0"/>
          <w:iCs w:val="0"/>
          <w:color w:val="auto"/>
          <w:lang w:eastAsia="es-AR"/>
        </w:rPr>
        <w:t>Defensoría Pública Oficial Adjunta ante la Cámara Federal de Casación Penal Nro. 3</w:t>
      </w:r>
      <w:r w:rsidRPr="009C3961">
        <w:rPr>
          <w:rFonts w:ascii="Bookman Old Style" w:hAnsi="Bookman Old Style" w:cs="DDKAMK+Arial"/>
          <w:b w:val="0"/>
          <w:i w:val="0"/>
          <w:color w:val="auto"/>
        </w:rPr>
        <w:t xml:space="preserve">, con sustento en la trayectoria de trabajo recorrida por el Programa sobre Diversidad Cultural de la Defensoría General de la Nación, cuyo objeto es atender asuntos relativos a los derechos de los pueblos indígenas y de diversidad cultural. </w:t>
      </w:r>
    </w:p>
    <w:p w:rsidR="00FD648F" w:rsidRPr="009C3961" w:rsidRDefault="00FD648F" w:rsidP="00FD648F">
      <w:pPr>
        <w:pStyle w:val="Default"/>
        <w:spacing w:line="360" w:lineRule="auto"/>
        <w:jc w:val="both"/>
        <w:rPr>
          <w:rFonts w:ascii="Bookman Old Style" w:hAnsi="Bookman Old Style" w:cs="DDKAMK+Arial"/>
          <w:b/>
        </w:rPr>
      </w:pPr>
    </w:p>
    <w:p w:rsidR="00FD648F" w:rsidRPr="009C3961" w:rsidRDefault="00FD648F" w:rsidP="00FD648F">
      <w:pPr>
        <w:pStyle w:val="Default"/>
        <w:numPr>
          <w:ilvl w:val="0"/>
          <w:numId w:val="4"/>
        </w:numPr>
        <w:spacing w:line="360" w:lineRule="auto"/>
        <w:jc w:val="both"/>
        <w:rPr>
          <w:rFonts w:ascii="Bookman Old Style" w:hAnsi="Bookman Old Style" w:cs="DDKAMK+Arial"/>
          <w:b/>
        </w:rPr>
      </w:pPr>
      <w:r w:rsidRPr="009C3961">
        <w:rPr>
          <w:rFonts w:ascii="Bookman Old Style" w:hAnsi="Bookman Old Style" w:cs="DDKAMK+Arial"/>
          <w:b/>
        </w:rPr>
        <w:t>El Programa sobre Diversidad Cultural de la Defensoría General de la Nación. Presentación</w:t>
      </w:r>
      <w:r>
        <w:rPr>
          <w:rFonts w:ascii="Bookman Old Style" w:hAnsi="Bookman Old Style" w:cs="DDKAMK+Arial"/>
          <w:b/>
        </w:rPr>
        <w:t>.</w:t>
      </w:r>
    </w:p>
    <w:p w:rsidR="00FD648F" w:rsidRPr="009C3961" w:rsidRDefault="00FD648F" w:rsidP="00FD648F">
      <w:pPr>
        <w:pStyle w:val="Default"/>
        <w:spacing w:line="360" w:lineRule="auto"/>
        <w:jc w:val="both"/>
        <w:rPr>
          <w:rFonts w:ascii="Bookman Old Style" w:hAnsi="Bookman Old Style" w:cs="DDKAMK+Arial"/>
        </w:rPr>
      </w:pPr>
      <w:r w:rsidRPr="009C3961">
        <w:rPr>
          <w:rFonts w:ascii="Bookman Old Style" w:hAnsi="Bookman Old Style" w:cs="DDKAMK+Arial"/>
        </w:rPr>
        <w:t xml:space="preserve">El Programa sobre Diversidad Cultural </w:t>
      </w:r>
      <w:r>
        <w:rPr>
          <w:rFonts w:ascii="Bookman Old Style" w:hAnsi="Bookman Old Style" w:cs="DDKAMK+Arial"/>
        </w:rPr>
        <w:t xml:space="preserve">de la Defensoría General de la Nación, </w:t>
      </w:r>
      <w:r w:rsidRPr="009C3961">
        <w:rPr>
          <w:rFonts w:ascii="Bookman Old Style" w:hAnsi="Bookman Old Style" w:cs="DDKAMK+Arial"/>
        </w:rPr>
        <w:t xml:space="preserve">fue creado en el año 2008 mediante la resolución DGN 1290/2008, en el marco de los diferentes programas y comisiones del Ministerio Público de la Defensa que buscan facilitar el acceso a la justicia de diversos sectores de la población que se encuentran en condición de vulnerabilidad, con el objetivo principal de promover acciones orientadas a la defensa y protección de la diversidad cultural. En virtud de las necesidades funcionales y los obstáculos en el acceso a la justicia, el Programa sobre Diversidad Cultural da prioridad a las actividades relacionadas con la defensa y protección de los derechos de los pueblos originarios, especialmente en consideración que, a partir de la incorporación del artículo 75 inc. 17 a la Constitución Nacional, se configuró un nuevo modelo de protección de los derechos de los pueblos indígenas y de la diversidad cultural, circunstancia que demanda la adopción de medidas especiales para garantizar su pleno ejercicio. </w:t>
      </w:r>
    </w:p>
    <w:p w:rsidR="00FD648F" w:rsidRPr="009C3961" w:rsidRDefault="00FD648F" w:rsidP="00FD648F">
      <w:pPr>
        <w:pStyle w:val="Default"/>
        <w:spacing w:line="360" w:lineRule="auto"/>
        <w:jc w:val="both"/>
        <w:rPr>
          <w:rFonts w:ascii="Bookman Old Style" w:hAnsi="Bookman Old Style" w:cs="DDKAMK+Arial"/>
        </w:rPr>
      </w:pPr>
      <w:r w:rsidRPr="009C3961">
        <w:rPr>
          <w:rFonts w:ascii="Bookman Old Style" w:hAnsi="Bookman Old Style" w:cs="DDKAMK+Arial"/>
        </w:rPr>
        <w:lastRenderedPageBreak/>
        <w:t>De este modo, el Programa tiene como principal objetivo promover actividades orientadas a la defensa y protección de la diversidad cultural y los derechos de los pueblos indígenas, brindando apoyo a los integrantes del Ministerio Público de la Defensa, en coordinación con otros programas y comisiones de la Defensoría General, e integrando a otras instituciones nacionales e internacionales vinculadas con la problemática.</w:t>
      </w:r>
    </w:p>
    <w:p w:rsidR="00FD648F" w:rsidRPr="009C3961" w:rsidRDefault="00FD648F" w:rsidP="00FD648F">
      <w:pPr>
        <w:pStyle w:val="Default"/>
        <w:spacing w:line="360" w:lineRule="auto"/>
        <w:jc w:val="both"/>
        <w:rPr>
          <w:rFonts w:ascii="Bookman Old Style" w:hAnsi="Bookman Old Style" w:cs="DDKAMK+Arial"/>
        </w:rPr>
      </w:pPr>
    </w:p>
    <w:p w:rsidR="00FD648F" w:rsidRPr="00920ED0" w:rsidRDefault="00FD648F" w:rsidP="00FD648F">
      <w:pPr>
        <w:pStyle w:val="Default"/>
        <w:numPr>
          <w:ilvl w:val="0"/>
          <w:numId w:val="4"/>
        </w:numPr>
        <w:spacing w:line="360" w:lineRule="auto"/>
        <w:ind w:left="0" w:firstLine="360"/>
        <w:jc w:val="both"/>
        <w:rPr>
          <w:rFonts w:ascii="Bookman Old Style" w:hAnsi="Bookman Old Style"/>
          <w:lang w:val="es-ES_tradnl"/>
        </w:rPr>
      </w:pPr>
      <w:r w:rsidRPr="00346F05">
        <w:rPr>
          <w:rFonts w:ascii="Bookman Old Style" w:hAnsi="Bookman Old Style"/>
          <w:b/>
          <w:lang w:val="es-ES_tradnl"/>
        </w:rPr>
        <w:t>Introducción</w:t>
      </w:r>
      <w:r>
        <w:rPr>
          <w:rFonts w:ascii="Bookman Old Style" w:hAnsi="Bookman Old Style"/>
          <w:b/>
          <w:lang w:val="es-ES_tradnl"/>
        </w:rPr>
        <w:t>.</w:t>
      </w:r>
      <w:r w:rsidRPr="00346F05">
        <w:rPr>
          <w:rFonts w:ascii="Bookman Old Style" w:hAnsi="Bookman Old Style"/>
          <w:b/>
          <w:lang w:val="es-ES_tradnl"/>
        </w:rPr>
        <w:t xml:space="preserve"> </w:t>
      </w:r>
      <w:r w:rsidRPr="00346F05">
        <w:rPr>
          <w:rFonts w:ascii="Bookman Old Style" w:hAnsi="Bookman Old Style"/>
          <w:b/>
          <w:lang w:val="es-ES_tradnl"/>
        </w:rPr>
        <w:br/>
      </w:r>
      <w:r w:rsidRPr="00920ED0">
        <w:rPr>
          <w:rFonts w:ascii="Bookman Old Style" w:hAnsi="Bookman Old Style"/>
          <w:lang w:val="es-ES_tradnl"/>
        </w:rPr>
        <w:t xml:space="preserve">En todos los procesos judiciales que abordan cuestiones vinculadas a los derechos de los pueblos indígenas, debe tenerse especial atención a la normativa especial – nacional e internacional- que rige la materia. Así, la propiedad comunitaria y la cosmovisión indígena sobre el vínculo con </w:t>
      </w:r>
      <w:r w:rsidR="00DD4281" w:rsidRPr="00920ED0">
        <w:rPr>
          <w:rFonts w:ascii="Bookman Old Style" w:hAnsi="Bookman Old Style"/>
          <w:lang w:val="es-ES_tradnl"/>
        </w:rPr>
        <w:t>el territorio</w:t>
      </w:r>
      <w:r w:rsidRPr="00920ED0">
        <w:rPr>
          <w:rFonts w:ascii="Bookman Old Style" w:hAnsi="Bookman Old Style"/>
          <w:lang w:val="es-ES_tradnl"/>
        </w:rPr>
        <w:t xml:space="preserve"> difieren de la regulación de la propiedad privada.  </w:t>
      </w:r>
    </w:p>
    <w:p w:rsidR="00FD648F" w:rsidRPr="00920ED0" w:rsidRDefault="00FD648F" w:rsidP="00FD648F">
      <w:pPr>
        <w:contextualSpacing/>
        <w:rPr>
          <w:rFonts w:ascii="Bookman Old Style" w:hAnsi="Bookman Old Style"/>
          <w:lang w:val="es-ES_tradnl"/>
        </w:rPr>
      </w:pPr>
      <w:r w:rsidRPr="00920ED0">
        <w:rPr>
          <w:rFonts w:ascii="Bookman Old Style" w:hAnsi="Bookman Old Style"/>
          <w:lang w:val="es-ES_tradnl"/>
        </w:rPr>
        <w:t>Asimismo, el vínculo con el Estado por parte de las comunidades indígenas también es diferente y deben considerarse los años de violencia y opresión que generan una gran desconfianza por parte de las comunidades, especialmente hacia las fuerzas de seguridad.</w:t>
      </w:r>
    </w:p>
    <w:p w:rsidR="00FD648F" w:rsidRPr="00920ED0" w:rsidRDefault="00FD648F" w:rsidP="00FD648F">
      <w:pPr>
        <w:contextualSpacing/>
        <w:rPr>
          <w:rFonts w:ascii="Bookman Old Style" w:hAnsi="Bookman Old Style"/>
          <w:lang w:val="es-ES_tradnl"/>
        </w:rPr>
      </w:pPr>
      <w:r w:rsidRPr="00920ED0">
        <w:rPr>
          <w:rFonts w:ascii="Bookman Old Style" w:hAnsi="Bookman Old Style"/>
          <w:lang w:val="es-ES_tradnl"/>
        </w:rPr>
        <w:t xml:space="preserve">Así, las actividades de exploración y explotación de hidrocarburos, se suman a un contexto en el cual las comunidades ven afectados sus derechos territoriales y aún reclaman el cumplimiento de pisos mínimos de garantías que los respeten. Una de las omisiones principales por parte del Estado es la falta de relevamiento técnico jurídico catastral –ley 26160- y la demarcación y titulación de la propiedad comunitaria. </w:t>
      </w:r>
    </w:p>
    <w:p w:rsidR="00FD648F" w:rsidRPr="00920ED0" w:rsidRDefault="00FD648F" w:rsidP="00FD648F">
      <w:pPr>
        <w:contextualSpacing/>
        <w:rPr>
          <w:rFonts w:ascii="Bookman Old Style" w:hAnsi="Bookman Old Style"/>
          <w:lang w:val="es-ES_tradnl"/>
        </w:rPr>
      </w:pPr>
      <w:r w:rsidRPr="00920ED0">
        <w:rPr>
          <w:rFonts w:ascii="Bookman Old Style" w:hAnsi="Bookman Old Style"/>
          <w:lang w:val="es-ES_tradnl"/>
        </w:rPr>
        <w:t xml:space="preserve">Mientras tanto las comunidades protegen sus derechos a través de la ocupación tradicional y la posesión comunitaria, como actos colectivos y relacionados directamente con su modo de vida y su cosmovisión. Sostener sus actividades tradicionales, habitar aquellos territorios a pesar de las acciones de terceros sobre esos espacios que violentan no sólo su forma de vida, sino que también ponen en riesgo su integridad física. </w:t>
      </w:r>
    </w:p>
    <w:p w:rsidR="00FD648F" w:rsidRPr="00920ED0" w:rsidRDefault="00FD648F" w:rsidP="00FD648F">
      <w:pPr>
        <w:contextualSpacing/>
        <w:rPr>
          <w:rFonts w:ascii="Bookman Old Style" w:hAnsi="Bookman Old Style"/>
          <w:lang w:val="es-ES_tradnl"/>
        </w:rPr>
      </w:pPr>
      <w:r w:rsidRPr="00920ED0">
        <w:rPr>
          <w:rFonts w:ascii="Bookman Old Style" w:hAnsi="Bookman Old Style"/>
          <w:lang w:val="es-ES_tradnl"/>
        </w:rPr>
        <w:t xml:space="preserve">Además del esfuerzo por defender sus derechos, los miembros de las comunidades indígenas, se encuentran involucrados en causas penales impulsadas en su contra, donde los denuncias de usurpar las tierras que ellos reconocen como propias. </w:t>
      </w:r>
    </w:p>
    <w:p w:rsidR="00FD648F" w:rsidRPr="00920ED0" w:rsidRDefault="00FD648F" w:rsidP="00FD648F">
      <w:pPr>
        <w:contextualSpacing/>
        <w:rPr>
          <w:rFonts w:ascii="Bookman Old Style" w:hAnsi="Bookman Old Style"/>
          <w:lang w:val="es-ES_tradnl"/>
        </w:rPr>
      </w:pPr>
      <w:r w:rsidRPr="00920ED0">
        <w:rPr>
          <w:rFonts w:ascii="Bookman Old Style" w:hAnsi="Bookman Old Style"/>
          <w:lang w:val="es-ES_tradnl"/>
        </w:rPr>
        <w:t>La criminalización o persecución judicial ha sido una de las respuestas frente a los reclamos territoriales, y en un contexto de dificultades en el acceso a la justicia y represión de la protesta social conforma un escenario delicado para el ejercicio de ciertos derechos.</w:t>
      </w:r>
    </w:p>
    <w:p w:rsidR="00FD648F" w:rsidRPr="00920ED0" w:rsidRDefault="00FD648F" w:rsidP="00FD648F">
      <w:pPr>
        <w:contextualSpacing/>
        <w:rPr>
          <w:rFonts w:ascii="Bookman Old Style" w:hAnsi="Bookman Old Style"/>
          <w:lang w:val="es-ES_tradnl"/>
        </w:rPr>
      </w:pPr>
      <w:r w:rsidRPr="00920ED0">
        <w:rPr>
          <w:rFonts w:ascii="Bookman Old Style" w:hAnsi="Bookman Old Style"/>
          <w:lang w:val="es-ES_tradnl"/>
        </w:rPr>
        <w:lastRenderedPageBreak/>
        <w:t xml:space="preserve">En este contexto, el habeas corpus se ha presentado como una de las herramientas judiciales fundamentales para poner brindar protección a su integridad física, sobre todo frente al accionar de fuerzas de seguridad. </w:t>
      </w:r>
    </w:p>
    <w:p w:rsidR="00FD648F" w:rsidRPr="00920ED0" w:rsidRDefault="00FD648F" w:rsidP="00FD648F">
      <w:pPr>
        <w:ind w:left="720"/>
        <w:contextualSpacing/>
        <w:rPr>
          <w:rFonts w:ascii="Bookman Old Style" w:hAnsi="Bookman Old Style"/>
          <w:lang w:val="es-ES_tradnl"/>
        </w:rPr>
      </w:pPr>
    </w:p>
    <w:p w:rsidR="00FD648F" w:rsidRPr="00445581" w:rsidRDefault="00FD648F" w:rsidP="00FD648F">
      <w:pPr>
        <w:pStyle w:val="Default"/>
        <w:numPr>
          <w:ilvl w:val="0"/>
          <w:numId w:val="4"/>
        </w:numPr>
        <w:spacing w:line="360" w:lineRule="auto"/>
        <w:ind w:left="0" w:firstLine="360"/>
        <w:jc w:val="both"/>
        <w:rPr>
          <w:rFonts w:ascii="Bookman Old Style" w:hAnsi="Bookman Old Style"/>
          <w:b/>
          <w:lang w:val="es-ES_tradnl"/>
        </w:rPr>
      </w:pPr>
      <w:r>
        <w:rPr>
          <w:rFonts w:ascii="Bookman Old Style" w:hAnsi="Bookman Old Style"/>
          <w:b/>
          <w:lang w:val="es-ES_tradnl"/>
        </w:rPr>
        <w:t xml:space="preserve">La vía del habeas corpus como herramienta para proteger los derechos fundamentales de los pueblos indígenas </w:t>
      </w:r>
      <w:r w:rsidRPr="00445581">
        <w:rPr>
          <w:rFonts w:ascii="Bookman Old Style" w:hAnsi="Bookman Old Style"/>
          <w:b/>
          <w:lang w:val="es-ES_tradnl"/>
        </w:rPr>
        <w:t>(art. 3 inc. 1</w:t>
      </w:r>
      <w:r>
        <w:rPr>
          <w:rFonts w:ascii="Bookman Old Style" w:hAnsi="Bookman Old Style"/>
          <w:b/>
          <w:lang w:val="es-ES_tradnl"/>
        </w:rPr>
        <w:t>,</w:t>
      </w:r>
      <w:r w:rsidRPr="00445581">
        <w:rPr>
          <w:rFonts w:ascii="Bookman Old Style" w:hAnsi="Bookman Old Style"/>
          <w:b/>
          <w:lang w:val="es-ES_tradnl"/>
        </w:rPr>
        <w:t xml:space="preserve"> de la ley 23.098</w:t>
      </w:r>
      <w:r>
        <w:rPr>
          <w:rFonts w:ascii="Bookman Old Style" w:hAnsi="Bookman Old Style"/>
          <w:b/>
          <w:lang w:val="es-ES_tradnl"/>
        </w:rPr>
        <w:t xml:space="preserve"> y</w:t>
      </w:r>
      <w:r w:rsidRPr="00445581">
        <w:rPr>
          <w:rFonts w:ascii="Bookman Old Style" w:hAnsi="Bookman Old Style"/>
          <w:b/>
          <w:lang w:val="es-ES_tradnl"/>
        </w:rPr>
        <w:t xml:space="preserve"> art. 456 inc. 1 del CPPN).</w:t>
      </w:r>
    </w:p>
    <w:p w:rsidR="00FD648F" w:rsidRPr="00920ED0" w:rsidRDefault="00FD648F" w:rsidP="00FD648F">
      <w:pPr>
        <w:contextualSpacing/>
        <w:rPr>
          <w:rFonts w:ascii="Bookman Old Style" w:hAnsi="Bookman Old Style"/>
          <w:bCs/>
        </w:rPr>
      </w:pPr>
      <w:r>
        <w:rPr>
          <w:rFonts w:ascii="Bookman Old Style" w:hAnsi="Bookman Old Style"/>
          <w:bCs/>
        </w:rPr>
        <w:t>L</w:t>
      </w:r>
      <w:r w:rsidRPr="00920ED0">
        <w:rPr>
          <w:rFonts w:ascii="Bookman Old Style" w:hAnsi="Bookman Old Style"/>
          <w:bCs/>
        </w:rPr>
        <w:t>a proyección del acto estatal lesivo concreto que puede llegar a afectar a la comunidad – y que se trata de evitar que ocurra- reviste una alto grado de contingencia y no por ello deslegitima el planteo traducido en la interposición de acción de habeas corpus preventivo, el que por supuesto tiene por objeto lograr la mayor protección posible. Los antecedentes del conflicto dan cuenta de que no hay elementos suficientes para garantizar que no se dé un arresto sin orden de autoridad competente.</w:t>
      </w:r>
      <w:r>
        <w:rPr>
          <w:rFonts w:ascii="Bookman Old Style" w:hAnsi="Bookman Old Style"/>
          <w:bCs/>
        </w:rPr>
        <w:t xml:space="preserve"> </w:t>
      </w:r>
      <w:r w:rsidRPr="00920ED0">
        <w:rPr>
          <w:rFonts w:ascii="Bookman Old Style" w:hAnsi="Bookman Old Style"/>
          <w:bCs/>
        </w:rPr>
        <w:t>Sin embargo, en este caso no sólo se trata de la posibilidad de arresto, sino también de garantizar la libre circulación y permanencia en el territorio reclamado por la comunidad.</w:t>
      </w:r>
    </w:p>
    <w:p w:rsidR="00FD648F" w:rsidRPr="00920ED0" w:rsidRDefault="00FD648F" w:rsidP="00FD648F">
      <w:pPr>
        <w:contextualSpacing/>
        <w:rPr>
          <w:rFonts w:ascii="Bookman Old Style" w:hAnsi="Bookman Old Style"/>
          <w:bCs/>
        </w:rPr>
      </w:pPr>
      <w:r w:rsidRPr="00920ED0">
        <w:rPr>
          <w:rFonts w:ascii="Bookman Old Style" w:hAnsi="Bookman Old Style"/>
          <w:bCs/>
        </w:rPr>
        <w:t xml:space="preserve">Por ese motivo, la herramienta adecuada para tratar de impedir posibles afectaciones es la acción de habeas corpus preventivo, que justamente se ocupa de aquellas situaciones donde hay una </w:t>
      </w:r>
      <w:r w:rsidRPr="00920ED0">
        <w:rPr>
          <w:rFonts w:ascii="Bookman Old Style" w:hAnsi="Bookman Old Style"/>
          <w:bCs/>
          <w:i/>
        </w:rPr>
        <w:t>amenaza a la privación de la libertad u otros derechos</w:t>
      </w:r>
      <w:r w:rsidRPr="00920ED0">
        <w:rPr>
          <w:rFonts w:ascii="Bookman Old Style" w:hAnsi="Bookman Old Style"/>
          <w:bCs/>
        </w:rPr>
        <w:t>.</w:t>
      </w:r>
      <w:r>
        <w:rPr>
          <w:rFonts w:ascii="Bookman Old Style" w:hAnsi="Bookman Old Style"/>
          <w:bCs/>
        </w:rPr>
        <w:t xml:space="preserve"> Así, en este mismo caso se sostuvo que “l</w:t>
      </w:r>
      <w:r w:rsidRPr="00920ED0">
        <w:rPr>
          <w:rFonts w:ascii="Bookman Old Style" w:hAnsi="Bookman Old Style"/>
          <w:bCs/>
        </w:rPr>
        <w:t xml:space="preserve">a acción de habeas corpus preventivo originado en autos se fundamenta en la necesidad de dar amparo a la libertad ambulatoria, de circulación y a la integridad física de los miembros de la </w:t>
      </w:r>
      <w:proofErr w:type="spellStart"/>
      <w:r w:rsidRPr="00920ED0">
        <w:rPr>
          <w:rFonts w:ascii="Bookman Old Style" w:hAnsi="Bookman Old Style"/>
          <w:bCs/>
        </w:rPr>
        <w:t>Lof</w:t>
      </w:r>
      <w:proofErr w:type="spellEnd"/>
      <w:r w:rsidRPr="00920ED0">
        <w:rPr>
          <w:rFonts w:ascii="Bookman Old Style" w:hAnsi="Bookman Old Style"/>
          <w:bCs/>
        </w:rPr>
        <w:t xml:space="preserve"> Campo </w:t>
      </w:r>
      <w:proofErr w:type="spellStart"/>
      <w:r w:rsidRPr="00920ED0">
        <w:rPr>
          <w:rFonts w:ascii="Bookman Old Style" w:hAnsi="Bookman Old Style"/>
          <w:bCs/>
        </w:rPr>
        <w:t>Maripe</w:t>
      </w:r>
      <w:proofErr w:type="spellEnd"/>
      <w:r w:rsidRPr="00920ED0">
        <w:rPr>
          <w:rFonts w:ascii="Bookman Old Style" w:hAnsi="Bookman Old Style"/>
          <w:bCs/>
        </w:rPr>
        <w:t xml:space="preserve"> (…)” (voto Hornos</w:t>
      </w:r>
      <w:r>
        <w:rPr>
          <w:rFonts w:ascii="Bookman Old Style" w:hAnsi="Bookman Old Style"/>
          <w:bCs/>
        </w:rPr>
        <w:t xml:space="preserve"> en la resolución del 22/12/2017, Cámara Federal de </w:t>
      </w:r>
      <w:r w:rsidRPr="00920ED0">
        <w:rPr>
          <w:rFonts w:ascii="Bookman Old Style" w:hAnsi="Bookman Old Style"/>
          <w:bCs/>
        </w:rPr>
        <w:t>Casación</w:t>
      </w:r>
      <w:r>
        <w:rPr>
          <w:rFonts w:ascii="Bookman Old Style" w:hAnsi="Bookman Old Style"/>
          <w:bCs/>
        </w:rPr>
        <w:t xml:space="preserve"> Penal</w:t>
      </w:r>
      <w:r w:rsidRPr="00920ED0">
        <w:rPr>
          <w:rFonts w:ascii="Bookman Old Style" w:hAnsi="Bookman Old Style"/>
          <w:bCs/>
        </w:rPr>
        <w:t>)</w:t>
      </w:r>
      <w:r>
        <w:rPr>
          <w:rFonts w:ascii="Bookman Old Style" w:hAnsi="Bookman Old Style"/>
          <w:bCs/>
        </w:rPr>
        <w:t xml:space="preserve">. </w:t>
      </w:r>
    </w:p>
    <w:p w:rsidR="00FD648F" w:rsidRDefault="00FD648F" w:rsidP="00FD648F">
      <w:pPr>
        <w:contextualSpacing/>
        <w:rPr>
          <w:rFonts w:ascii="Bookman Old Style" w:hAnsi="Bookman Old Style"/>
        </w:rPr>
      </w:pPr>
      <w:r>
        <w:rPr>
          <w:rFonts w:ascii="Bookman Old Style" w:hAnsi="Bookman Old Style"/>
          <w:bCs/>
        </w:rPr>
        <w:t>Asimismo, d</w:t>
      </w:r>
      <w:r w:rsidRPr="00920ED0">
        <w:rPr>
          <w:rFonts w:ascii="Bookman Old Style" w:hAnsi="Bookman Old Style"/>
          <w:bCs/>
        </w:rPr>
        <w:t>ebe garantizarse una tutela judicial efectiva, habiendo transcurrido más de 10 meses de la interposición de recursos, sería arbitrario cerrar el trámite del habeas corpus sin garantizar la protección de los miembros de la comunidad.</w:t>
      </w:r>
      <w:r>
        <w:rPr>
          <w:rFonts w:ascii="Bookman Old Style" w:hAnsi="Bookman Old Style"/>
          <w:bCs/>
        </w:rPr>
        <w:t xml:space="preserve"> En casos similares, ocurridos en la Patagonia, se resolvió el caso de la </w:t>
      </w:r>
      <w:r w:rsidRPr="00920ED0">
        <w:rPr>
          <w:rFonts w:ascii="Bookman Old Style" w:hAnsi="Bookman Old Style"/>
        </w:rPr>
        <w:t xml:space="preserve">“Comunidad </w:t>
      </w:r>
      <w:proofErr w:type="spellStart"/>
      <w:r w:rsidRPr="00920ED0">
        <w:rPr>
          <w:rFonts w:ascii="Bookman Old Style" w:hAnsi="Bookman Old Style"/>
        </w:rPr>
        <w:t>Raquithue</w:t>
      </w:r>
      <w:proofErr w:type="spellEnd"/>
      <w:r w:rsidRPr="00920ED0">
        <w:rPr>
          <w:rFonts w:ascii="Bookman Old Style" w:hAnsi="Bookman Old Style"/>
        </w:rPr>
        <w:t xml:space="preserve"> s/Habeas Corpu</w:t>
      </w:r>
      <w:r w:rsidR="00DD4281">
        <w:rPr>
          <w:rFonts w:ascii="Bookman Old Style" w:hAnsi="Bookman Old Style"/>
        </w:rPr>
        <w:t>s”, registrado bajo el nro. XXXX XXXXX</w:t>
      </w:r>
      <w:r w:rsidRPr="00920ED0">
        <w:rPr>
          <w:rFonts w:ascii="Bookman Old Style" w:hAnsi="Bookman Old Style"/>
        </w:rPr>
        <w:t xml:space="preserve">, del Juzgado Federal de Zapala, del 27 de septiembre de 2017, la jueza federal, la Dra. María Silvina Domínguez, hizo lugar al hábeas corpus preventivo a favor de la comunidad y dispuso hacerle saber a la </w:t>
      </w:r>
      <w:r w:rsidRPr="00920ED0">
        <w:rPr>
          <w:rFonts w:ascii="Bookman Old Style" w:hAnsi="Bookman Old Style"/>
        </w:rPr>
        <w:lastRenderedPageBreak/>
        <w:t>Gendarmería Nacional y a las demás fuerzas de seguridad y policiales que deberán abstenerse de ingresar a las tierras de la comunidad sin orden judicial o sin mediar autorización por parte de las autoridades comunitarias bajo pretexto o motivo alguno. Cabe destacar que para arribar a esa decisión, la jueza consideró que la conducta denunciada había vulnerado el derecho a la posesión y propiedad de la comunidad –quien en este caso cuenta con personería jurídica nacional y con el relevamiento técnico jurídico catastral de la ley 26160 iniciado-, así como también el derecho a la consulta. De esta manera, la Jueza otorgó a las tierras de posesión tradicional de la comunidad indígena, sin la exigencia de contar con la titulación de su propiedad, el grado de protección suficiente como para imponerle a las fuerzas de seguridad las restricciones constitucionales propias del domicilio. Además, reconoció al sistema de las autoridades comunitarias como la manera válida de dialogar entre las fuerzas de seguridad y la propia comunidad.</w:t>
      </w:r>
    </w:p>
    <w:p w:rsidR="00373685" w:rsidRDefault="00FD648F" w:rsidP="00FD648F">
      <w:pPr>
        <w:contextualSpacing/>
        <w:rPr>
          <w:rFonts w:ascii="Bookman Old Style" w:hAnsi="Bookman Old Style"/>
        </w:rPr>
      </w:pPr>
      <w:r>
        <w:rPr>
          <w:rFonts w:ascii="Bookman Old Style" w:hAnsi="Bookman Old Style"/>
        </w:rPr>
        <w:t>En este mismo caso, la Sala IV de la Cámara Federal de Casación Penal resolvió el día 22 de diciembre de 2017, que correspondía la vía del habeas corpus y que la misma era enmarcada en el art. 75 inc. 17, arts. 13 a 19 del Convenio 169 y 10, 11, 25 y 26 de la Declaración de las Naciones Unidas sobre Derechos de los Pueblos Indígenas, entre otra normativa de protección específica sobre derechos humanos de los pueblos indígenas (ver Acápite IV de la mencionada resolución, párr. 12 en adelante)</w:t>
      </w:r>
      <w:r w:rsidR="00373685">
        <w:rPr>
          <w:rFonts w:ascii="Bookman Old Style" w:hAnsi="Bookman Old Style"/>
        </w:rPr>
        <w:t>.</w:t>
      </w:r>
    </w:p>
    <w:p w:rsidR="00FD648F" w:rsidRPr="00920ED0" w:rsidRDefault="00FD648F" w:rsidP="00FD648F">
      <w:pPr>
        <w:contextualSpacing/>
        <w:rPr>
          <w:rFonts w:ascii="Bookman Old Style" w:hAnsi="Bookman Old Style"/>
        </w:rPr>
      </w:pPr>
      <w:r>
        <w:rPr>
          <w:rFonts w:ascii="Bookman Old Style" w:hAnsi="Bookman Old Style"/>
        </w:rPr>
        <w:t xml:space="preserve">  </w:t>
      </w:r>
    </w:p>
    <w:p w:rsidR="00FD648F" w:rsidRPr="00920ED0" w:rsidRDefault="00FD648F" w:rsidP="00FD648F">
      <w:pPr>
        <w:pStyle w:val="Prrafodelista"/>
        <w:numPr>
          <w:ilvl w:val="0"/>
          <w:numId w:val="4"/>
        </w:numPr>
        <w:spacing w:line="360" w:lineRule="auto"/>
        <w:jc w:val="both"/>
        <w:rPr>
          <w:rFonts w:ascii="Bookman Old Style" w:hAnsi="Bookman Old Style"/>
          <w:b/>
          <w:sz w:val="24"/>
          <w:szCs w:val="24"/>
          <w:lang w:val="es-ES_tradnl"/>
        </w:rPr>
      </w:pPr>
      <w:r w:rsidRPr="008A76F0">
        <w:rPr>
          <w:rFonts w:ascii="Bookman Old Style" w:hAnsi="Bookman Old Style"/>
          <w:b/>
          <w:bCs/>
          <w:sz w:val="24"/>
          <w:szCs w:val="24"/>
        </w:rPr>
        <w:t xml:space="preserve">La actualidad del conflicto </w:t>
      </w:r>
      <w:r>
        <w:rPr>
          <w:rFonts w:ascii="Bookman Old Style" w:hAnsi="Bookman Old Style"/>
          <w:b/>
          <w:bCs/>
          <w:sz w:val="24"/>
          <w:szCs w:val="24"/>
        </w:rPr>
        <w:t>territorial en lo relativo a la consulta y participación.</w:t>
      </w:r>
    </w:p>
    <w:p w:rsidR="00FD648F" w:rsidRPr="00920ED0" w:rsidRDefault="00FD648F" w:rsidP="00FD648F">
      <w:pPr>
        <w:contextualSpacing/>
        <w:rPr>
          <w:rFonts w:ascii="Bookman Old Style" w:hAnsi="Bookman Old Style"/>
          <w:lang w:val="es-ES_tradnl"/>
        </w:rPr>
      </w:pPr>
      <w:r w:rsidRPr="00920ED0">
        <w:rPr>
          <w:rFonts w:ascii="Bookman Old Style" w:hAnsi="Bookman Old Style"/>
          <w:lang w:val="es-ES_tradnl"/>
        </w:rPr>
        <w:t xml:space="preserve">Si bien la situación concreta que dio inicio a la interposición de la presente acción mutó, el riesgo latente de la reiteración requiere la atención por parte del Poder Judicial. Este órgano jurisdiccional se presenta como el espacio propicio para garantizar y proteger los derechos en juego. Lo ocurrido en Campo </w:t>
      </w:r>
      <w:proofErr w:type="spellStart"/>
      <w:r w:rsidRPr="00920ED0">
        <w:rPr>
          <w:rFonts w:ascii="Bookman Old Style" w:hAnsi="Bookman Old Style"/>
          <w:lang w:val="es-ES_tradnl"/>
        </w:rPr>
        <w:t>Maripe</w:t>
      </w:r>
      <w:proofErr w:type="spellEnd"/>
      <w:r w:rsidRPr="00920ED0">
        <w:rPr>
          <w:rFonts w:ascii="Bookman Old Style" w:hAnsi="Bookman Old Style"/>
          <w:lang w:val="es-ES_tradnl"/>
        </w:rPr>
        <w:t xml:space="preserve">, es un ejemplo de los múltiples casos que pueden suceder por no cumplir con la normativa de derechos humanos de los pueblos indígenas y no buscar consensos con las personas que habitan dichos territorios sobre las acciones que se llevan a cabo allí.  </w:t>
      </w:r>
    </w:p>
    <w:p w:rsidR="00FD648F" w:rsidRPr="00920ED0" w:rsidRDefault="00FD648F" w:rsidP="00FD648F">
      <w:pPr>
        <w:contextualSpacing/>
        <w:rPr>
          <w:rFonts w:ascii="Bookman Old Style" w:hAnsi="Bookman Old Style"/>
          <w:lang w:val="es-ES_tradnl"/>
        </w:rPr>
      </w:pPr>
      <w:r w:rsidRPr="00920ED0">
        <w:rPr>
          <w:rFonts w:ascii="Bookman Old Style" w:hAnsi="Bookman Old Style"/>
          <w:lang w:val="es-ES_tradnl"/>
        </w:rPr>
        <w:t xml:space="preserve">Además, en relación con lo desarrollado precedentemente, los procesos judiciales que abordan el derecho de los pueblos indígenas –en todos sus aspectos- en relación con las fuerzas de seguridad y otros órganos estatales, son una oportunidad para aumentar la confianza de las comunidades en las instituciones públicas y, especialmente, en la vía judicial como método de resolución de conflictos cuando ya han reclamado por diversas vías y no han </w:t>
      </w:r>
      <w:r w:rsidRPr="00920ED0">
        <w:rPr>
          <w:rFonts w:ascii="Bookman Old Style" w:hAnsi="Bookman Old Style"/>
          <w:lang w:val="es-ES_tradnl"/>
        </w:rPr>
        <w:lastRenderedPageBreak/>
        <w:t>encontrado respuesta. No debe perderse de vista la respuesta</w:t>
      </w:r>
      <w:r>
        <w:rPr>
          <w:rFonts w:ascii="Bookman Old Style" w:hAnsi="Bookman Old Style"/>
          <w:lang w:val="es-ES_tradnl"/>
        </w:rPr>
        <w:t xml:space="preserve"> punitiva</w:t>
      </w:r>
      <w:r w:rsidRPr="00920ED0">
        <w:rPr>
          <w:rFonts w:ascii="Bookman Old Style" w:hAnsi="Bookman Old Style"/>
          <w:lang w:val="es-ES_tradnl"/>
        </w:rPr>
        <w:t xml:space="preserve"> por parte del Poder Judicial frente a los reclamos vinculados con sus derechos territoriales</w:t>
      </w:r>
      <w:r>
        <w:rPr>
          <w:rFonts w:ascii="Bookman Old Style" w:hAnsi="Bookman Old Style"/>
          <w:lang w:val="es-ES_tradnl"/>
        </w:rPr>
        <w:t>, no es la vía apta ni adecuada para la solución</w:t>
      </w:r>
      <w:r w:rsidRPr="00920ED0">
        <w:rPr>
          <w:rFonts w:ascii="Bookman Old Style" w:hAnsi="Bookman Old Style"/>
          <w:lang w:val="es-ES_tradnl"/>
        </w:rPr>
        <w:t xml:space="preserve">. </w:t>
      </w:r>
    </w:p>
    <w:p w:rsidR="00FD648F" w:rsidRDefault="00FD648F" w:rsidP="00FD648F">
      <w:pPr>
        <w:contextualSpacing/>
        <w:rPr>
          <w:rFonts w:ascii="Bookman Old Style" w:hAnsi="Bookman Old Style"/>
          <w:lang w:val="es-ES_tradnl"/>
        </w:rPr>
      </w:pPr>
      <w:r w:rsidRPr="00346F05">
        <w:rPr>
          <w:rFonts w:ascii="Bookman Old Style" w:hAnsi="Bookman Old Style"/>
          <w:lang w:val="es-ES_tradnl"/>
        </w:rPr>
        <w:t>A modo de brindar información actualizada</w:t>
      </w:r>
      <w:bookmarkStart w:id="0" w:name="_GoBack"/>
      <w:bookmarkEnd w:id="0"/>
      <w:r w:rsidRPr="00346F05">
        <w:rPr>
          <w:rFonts w:ascii="Bookman Old Style" w:hAnsi="Bookman Old Style"/>
          <w:lang w:val="es-ES_tradnl"/>
        </w:rPr>
        <w:t xml:space="preserve"> sobre el contexto actual</w:t>
      </w:r>
      <w:r>
        <w:rPr>
          <w:rFonts w:ascii="Bookman Old Style" w:hAnsi="Bookman Old Style"/>
          <w:lang w:val="es-ES_tradnl"/>
        </w:rPr>
        <w:t xml:space="preserve"> del conflicto</w:t>
      </w:r>
      <w:r w:rsidRPr="00346F05">
        <w:rPr>
          <w:rFonts w:ascii="Bookman Old Style" w:hAnsi="Bookman Old Style"/>
          <w:lang w:val="es-ES_tradnl"/>
        </w:rPr>
        <w:t xml:space="preserve">, se señala que </w:t>
      </w:r>
      <w:r>
        <w:rPr>
          <w:rFonts w:ascii="Bookman Old Style" w:hAnsi="Bookman Old Style"/>
          <w:lang w:val="es-ES_tradnl"/>
        </w:rPr>
        <w:t>en forma reciente</w:t>
      </w:r>
      <w:r w:rsidRPr="00346F05">
        <w:rPr>
          <w:rFonts w:ascii="Bookman Old Style" w:hAnsi="Bookman Old Style"/>
          <w:lang w:val="es-ES_tradnl"/>
        </w:rPr>
        <w:t xml:space="preserve"> </w:t>
      </w:r>
      <w:r w:rsidRPr="00920ED0">
        <w:rPr>
          <w:rFonts w:ascii="Bookman Old Style" w:hAnsi="Bookman Old Style"/>
          <w:lang w:val="es-ES_tradnl"/>
        </w:rPr>
        <w:t xml:space="preserve">un medio de comunicación informó que </w:t>
      </w:r>
      <w:r w:rsidRPr="00920ED0">
        <w:rPr>
          <w:rFonts w:ascii="Bookman Old Style" w:hAnsi="Bookman Old Style"/>
          <w:bCs/>
          <w:i/>
          <w:lang w:val="es-ES_tradnl"/>
        </w:rPr>
        <w:t xml:space="preserve">"YPF ya radicó 17 denuncias contra esta y la comunidad Campo </w:t>
      </w:r>
      <w:proofErr w:type="spellStart"/>
      <w:r w:rsidRPr="00920ED0">
        <w:rPr>
          <w:rFonts w:ascii="Bookman Old Style" w:hAnsi="Bookman Old Style"/>
          <w:bCs/>
          <w:i/>
          <w:lang w:val="es-ES_tradnl"/>
        </w:rPr>
        <w:t>Maripe</w:t>
      </w:r>
      <w:proofErr w:type="spellEnd"/>
      <w:r w:rsidRPr="00920ED0">
        <w:rPr>
          <w:rFonts w:ascii="Bookman Old Style" w:hAnsi="Bookman Old Style"/>
          <w:bCs/>
          <w:i/>
          <w:lang w:val="es-ES_tradnl"/>
        </w:rPr>
        <w:t xml:space="preserve">   </w:t>
      </w:r>
      <w:r w:rsidRPr="00920ED0">
        <w:rPr>
          <w:rFonts w:ascii="Bookman Old Style" w:hAnsi="Bookman Old Style"/>
          <w:bCs/>
          <w:lang w:val="es-ES_tradnl"/>
        </w:rPr>
        <w:t>(</w:t>
      </w:r>
      <w:proofErr w:type="spellStart"/>
      <w:r w:rsidRPr="00920ED0">
        <w:rPr>
          <w:rFonts w:ascii="Bookman Old Style" w:hAnsi="Bookman Old Style"/>
          <w:bCs/>
          <w:lang w:val="es-ES_tradnl"/>
        </w:rPr>
        <w:t>Infobae</w:t>
      </w:r>
      <w:proofErr w:type="spellEnd"/>
      <w:r w:rsidRPr="00920ED0">
        <w:rPr>
          <w:rFonts w:ascii="Bookman Old Style" w:hAnsi="Bookman Old Style"/>
          <w:bCs/>
          <w:lang w:val="es-ES_tradnl"/>
        </w:rPr>
        <w:t>, 28/5/2018)</w:t>
      </w:r>
      <w:r>
        <w:rPr>
          <w:rFonts w:ascii="Bookman Old Style" w:hAnsi="Bookman Old Style"/>
          <w:bCs/>
          <w:lang w:val="es-ES_tradnl"/>
        </w:rPr>
        <w:t>, lo cual</w:t>
      </w:r>
      <w:r w:rsidRPr="00445581">
        <w:rPr>
          <w:rFonts w:ascii="Bookman Old Style" w:hAnsi="Bookman Old Style"/>
          <w:bCs/>
          <w:lang w:val="es-ES_tradnl"/>
        </w:rPr>
        <w:t xml:space="preserve"> sirve para ilustrar </w:t>
      </w:r>
      <w:r w:rsidRPr="00920ED0">
        <w:rPr>
          <w:rFonts w:ascii="Bookman Old Style" w:hAnsi="Bookman Old Style"/>
          <w:lang w:val="es-ES_tradnl"/>
        </w:rPr>
        <w:t>no sólo la persistente criminalización de las comunidades indígenas que habitan la zona de Vaca Muerta, donde se continuará con las actividades de exploración y explotación de hidrocarburos y la necesidad de que se busque una salida respetuosa de la diversidad cultural y de los derechos de los pueblos indígenas.</w:t>
      </w:r>
    </w:p>
    <w:p w:rsidR="00373685" w:rsidRPr="00920ED0" w:rsidRDefault="00373685" w:rsidP="00FD648F">
      <w:pPr>
        <w:contextualSpacing/>
        <w:rPr>
          <w:rFonts w:ascii="Bookman Old Style" w:hAnsi="Bookman Old Style"/>
          <w:lang w:val="es-ES_tradnl"/>
        </w:rPr>
      </w:pPr>
    </w:p>
    <w:p w:rsidR="00FD648F" w:rsidRPr="008A76F0" w:rsidRDefault="00FD648F" w:rsidP="00FD648F">
      <w:pPr>
        <w:pStyle w:val="Prrafodelista"/>
        <w:numPr>
          <w:ilvl w:val="0"/>
          <w:numId w:val="4"/>
        </w:numPr>
        <w:spacing w:line="360" w:lineRule="auto"/>
        <w:jc w:val="both"/>
        <w:rPr>
          <w:rFonts w:ascii="Bookman Old Style" w:hAnsi="Bookman Old Style"/>
          <w:b/>
          <w:sz w:val="24"/>
          <w:szCs w:val="24"/>
          <w:lang w:val="es-ES"/>
        </w:rPr>
      </w:pPr>
      <w:r>
        <w:rPr>
          <w:rFonts w:ascii="Bookman Old Style" w:hAnsi="Bookman Old Style"/>
          <w:b/>
          <w:sz w:val="24"/>
          <w:szCs w:val="24"/>
          <w:lang w:val="es-ES"/>
        </w:rPr>
        <w:t>E</w:t>
      </w:r>
      <w:r w:rsidRPr="008A76F0">
        <w:rPr>
          <w:rFonts w:ascii="Bookman Old Style" w:hAnsi="Bookman Old Style"/>
          <w:b/>
          <w:sz w:val="24"/>
          <w:szCs w:val="24"/>
          <w:lang w:val="es-ES"/>
        </w:rPr>
        <w:t>l derecho a la consulta y participación</w:t>
      </w:r>
      <w:r>
        <w:rPr>
          <w:rFonts w:ascii="Bookman Old Style" w:hAnsi="Bookman Old Style"/>
          <w:b/>
          <w:sz w:val="24"/>
          <w:szCs w:val="24"/>
          <w:lang w:val="es-ES"/>
        </w:rPr>
        <w:t xml:space="preserve"> indígena. Concepto y algunos estándares.</w:t>
      </w:r>
    </w:p>
    <w:p w:rsidR="00FD648F" w:rsidRDefault="00FD648F" w:rsidP="00FD648F">
      <w:pPr>
        <w:rPr>
          <w:rFonts w:ascii="Bookman Old Style" w:hAnsi="Bookman Old Style"/>
        </w:rPr>
      </w:pPr>
      <w:r w:rsidRPr="00920ED0">
        <w:rPr>
          <w:rFonts w:ascii="Bookman Old Style" w:hAnsi="Bookman Old Style"/>
        </w:rPr>
        <w:t xml:space="preserve">El derecho a la consulta representa uno de los derechos fundamentales de los pueblos indígenas y su cumplimiento garantiza el cumplimiento de otros derechos. Ello, debido a que se vincula directamente con el reconocimiento de la comunidad indígena como un sujeto de derecho con una cosmovisión propia. Por ese motivo, el Estado debe dar cumplimiento a los estándares que se mencionan a continuación para actuar de manera respetuosa a los derechos humanos de los pueblos indígenas y en el marco del paradigma de la diversidad cultural. </w:t>
      </w:r>
      <w:r>
        <w:rPr>
          <w:rFonts w:ascii="Bookman Old Style" w:hAnsi="Bookman Old Style"/>
        </w:rPr>
        <w:t>S</w:t>
      </w:r>
      <w:r w:rsidRPr="00920ED0">
        <w:rPr>
          <w:rFonts w:ascii="Bookman Old Style" w:hAnsi="Bookman Old Style"/>
        </w:rPr>
        <w:t xml:space="preserve">e encuentra contemplado tanto en la Constitución Nacional (art. 75 inc. 17) como en los instrumentos internacionales, esto es, la Declaración de las Naciones Unidas sobre los Derechos Humanos de los Pueblos Indígenas como el Convenio 169 de la OIT. </w:t>
      </w:r>
    </w:p>
    <w:p w:rsidR="00FD648F" w:rsidRDefault="00FD648F" w:rsidP="00FD648F">
      <w:pPr>
        <w:rPr>
          <w:rFonts w:ascii="Bookman Old Style" w:hAnsi="Bookman Old Style"/>
        </w:rPr>
      </w:pPr>
      <w:r>
        <w:rPr>
          <w:rFonts w:ascii="Bookman Old Style" w:hAnsi="Bookman Old Style"/>
        </w:rPr>
        <w:t>E</w:t>
      </w:r>
      <w:r w:rsidRPr="00920ED0">
        <w:rPr>
          <w:rFonts w:ascii="Bookman Old Style" w:hAnsi="Bookman Old Style"/>
        </w:rPr>
        <w:t xml:space="preserve">n nuestro país no </w:t>
      </w:r>
      <w:r>
        <w:rPr>
          <w:rFonts w:ascii="Bookman Old Style" w:hAnsi="Bookman Old Style"/>
        </w:rPr>
        <w:t xml:space="preserve">existe una ley nacional que </w:t>
      </w:r>
      <w:r w:rsidRPr="00920ED0">
        <w:rPr>
          <w:rFonts w:ascii="Bookman Old Style" w:hAnsi="Bookman Old Style"/>
        </w:rPr>
        <w:t>regul</w:t>
      </w:r>
      <w:r>
        <w:rPr>
          <w:rFonts w:ascii="Bookman Old Style" w:hAnsi="Bookman Old Style"/>
        </w:rPr>
        <w:t>e</w:t>
      </w:r>
      <w:r w:rsidRPr="00920ED0">
        <w:rPr>
          <w:rFonts w:ascii="Bookman Old Style" w:hAnsi="Bookman Old Style"/>
        </w:rPr>
        <w:t xml:space="preserve"> específica</w:t>
      </w:r>
      <w:r>
        <w:rPr>
          <w:rFonts w:ascii="Bookman Old Style" w:hAnsi="Bookman Old Style"/>
        </w:rPr>
        <w:t>mente este derecho, pero</w:t>
      </w:r>
      <w:r w:rsidRPr="00920ED0">
        <w:rPr>
          <w:rFonts w:ascii="Bookman Old Style" w:hAnsi="Bookman Old Style"/>
        </w:rPr>
        <w:t xml:space="preserve"> en muchos casos se han elaborado Protocolos de Consulta específicos</w:t>
      </w:r>
      <w:r>
        <w:rPr>
          <w:rFonts w:ascii="Bookman Old Style" w:hAnsi="Bookman Old Style"/>
        </w:rPr>
        <w:t xml:space="preserve"> que son referencia ineludible a considerar</w:t>
      </w:r>
      <w:r w:rsidRPr="00920ED0">
        <w:rPr>
          <w:rFonts w:ascii="Bookman Old Style" w:hAnsi="Bookman Old Style"/>
        </w:rPr>
        <w:t>.</w:t>
      </w:r>
      <w:r>
        <w:rPr>
          <w:rFonts w:ascii="Bookman Old Style" w:hAnsi="Bookman Old Style"/>
        </w:rPr>
        <w:t xml:space="preserve"> </w:t>
      </w:r>
      <w:r w:rsidRPr="00920ED0">
        <w:rPr>
          <w:rFonts w:ascii="Bookman Old Style" w:hAnsi="Bookman Old Style"/>
        </w:rPr>
        <w:t xml:space="preserve">A modo de ejemplo puede mencionarse el </w:t>
      </w:r>
      <w:r w:rsidRPr="00920ED0">
        <w:rPr>
          <w:rFonts w:ascii="Bookman Old Style" w:hAnsi="Bookman Old Style"/>
          <w:i/>
        </w:rPr>
        <w:t xml:space="preserve">Protocolo de consulta y Participación </w:t>
      </w:r>
      <w:proofErr w:type="spellStart"/>
      <w:r w:rsidRPr="00920ED0">
        <w:rPr>
          <w:rFonts w:ascii="Bookman Old Style" w:hAnsi="Bookman Old Style"/>
          <w:i/>
        </w:rPr>
        <w:t>Kachi</w:t>
      </w:r>
      <w:proofErr w:type="spellEnd"/>
      <w:r w:rsidRPr="00920ED0">
        <w:rPr>
          <w:rFonts w:ascii="Bookman Old Style" w:hAnsi="Bookman Old Style"/>
          <w:i/>
        </w:rPr>
        <w:t xml:space="preserve"> Yupi – Huellas de Sal</w:t>
      </w:r>
      <w:r w:rsidRPr="00920ED0">
        <w:rPr>
          <w:rFonts w:ascii="Bookman Old Style" w:hAnsi="Bookman Old Style"/>
          <w:vertAlign w:val="superscript"/>
        </w:rPr>
        <w:t xml:space="preserve"> </w:t>
      </w:r>
      <w:r w:rsidRPr="00920ED0">
        <w:rPr>
          <w:rFonts w:ascii="Bookman Old Style" w:hAnsi="Bookman Old Style"/>
          <w:vertAlign w:val="superscript"/>
        </w:rPr>
        <w:footnoteReference w:id="1"/>
      </w:r>
      <w:r w:rsidRPr="00920ED0">
        <w:rPr>
          <w:rFonts w:ascii="Bookman Old Style" w:hAnsi="Bookman Old Style"/>
        </w:rPr>
        <w:t xml:space="preserve">  elaborado por más de 33 comunidades de Salta y Jujuy. El documento es una herram</w:t>
      </w:r>
      <w:r>
        <w:rPr>
          <w:rFonts w:ascii="Bookman Old Style" w:hAnsi="Bookman Old Style"/>
        </w:rPr>
        <w:t xml:space="preserve">ienta </w:t>
      </w:r>
      <w:r>
        <w:rPr>
          <w:rFonts w:ascii="Bookman Old Style" w:hAnsi="Bookman Old Style"/>
        </w:rPr>
        <w:lastRenderedPageBreak/>
        <w:t>fundamental para que los e</w:t>
      </w:r>
      <w:r w:rsidRPr="00920ED0">
        <w:rPr>
          <w:rFonts w:ascii="Bookman Old Style" w:hAnsi="Bookman Old Style"/>
        </w:rPr>
        <w:t xml:space="preserve">stados –tanto nacional como provincial- puedan realizar los procedimientos de consulta de forma adecuada. Tal es así, que la propia Defensoría del Pueblo de la Nación emitió una </w:t>
      </w:r>
      <w:r>
        <w:rPr>
          <w:rFonts w:ascii="Bookman Old Style" w:hAnsi="Bookman Old Style"/>
        </w:rPr>
        <w:t>R</w:t>
      </w:r>
      <w:r w:rsidRPr="00920ED0">
        <w:rPr>
          <w:rFonts w:ascii="Bookman Old Style" w:hAnsi="Bookman Old Style"/>
        </w:rPr>
        <w:t>ecomendación para que sea tenido en especial consideración cada vez que se lleve a cabo un proceso de consulta. Entonces, si bien no hay una ley nacional que regule el procedimiento para el ejercicio del derecho a la consulta y participación indígena, existen antecedentes que pueden ser tenidos en cuenta como el mencionado Protocolo.</w:t>
      </w:r>
    </w:p>
    <w:p w:rsidR="00FD648F" w:rsidRPr="00920ED0" w:rsidRDefault="00FD648F" w:rsidP="00FD648F">
      <w:pPr>
        <w:rPr>
          <w:rFonts w:ascii="Bookman Old Style" w:hAnsi="Bookman Old Style"/>
        </w:rPr>
      </w:pPr>
      <w:r w:rsidRPr="00920ED0">
        <w:rPr>
          <w:rFonts w:ascii="Bookman Old Style" w:hAnsi="Bookman Old Style"/>
        </w:rPr>
        <w:t>Los pueblos indígenas tienen derecho a ser consultados, por medio de sus autoridades comunitarias y de manera apropiada (art. 6.1 del Convenio 169 OIT), cuando se dispongan medidas legislativas y administrativas que podrían afectarlos.</w:t>
      </w:r>
      <w:r>
        <w:rPr>
          <w:rFonts w:ascii="Bookman Old Style" w:hAnsi="Bookman Old Style"/>
        </w:rPr>
        <w:t xml:space="preserve"> </w:t>
      </w:r>
      <w:r w:rsidRPr="00920ED0">
        <w:rPr>
          <w:rFonts w:ascii="Bookman Old Style" w:hAnsi="Bookman Old Style"/>
        </w:rPr>
        <w:t>La consulta debe ser realizada por el Estado (cfr. art. 6.1 del Convenio 169 y art. 18 de la Declaración de las Naciones Unidas)</w:t>
      </w:r>
      <w:r>
        <w:rPr>
          <w:rFonts w:ascii="Bookman Old Style" w:hAnsi="Bookman Old Style"/>
        </w:rPr>
        <w:t xml:space="preserve">, </w:t>
      </w:r>
      <w:r w:rsidRPr="00920ED0">
        <w:rPr>
          <w:rFonts w:ascii="Bookman Old Style" w:hAnsi="Bookman Old Style"/>
        </w:rPr>
        <w:t>en forma previa</w:t>
      </w:r>
      <w:r>
        <w:rPr>
          <w:rFonts w:ascii="Bookman Old Style" w:hAnsi="Bookman Old Style"/>
        </w:rPr>
        <w:t>,</w:t>
      </w:r>
      <w:r w:rsidRPr="00920ED0">
        <w:rPr>
          <w:rFonts w:ascii="Bookman Old Style" w:hAnsi="Bookman Old Style"/>
        </w:rPr>
        <w:t xml:space="preserve"> de buena fe con los pueblos indígenas interesados por medio de sus instituciones representativas:</w:t>
      </w:r>
      <w:r>
        <w:rPr>
          <w:rFonts w:ascii="Bookman Old Style" w:hAnsi="Bookman Old Style"/>
        </w:rPr>
        <w:t xml:space="preserve"> </w:t>
      </w:r>
    </w:p>
    <w:p w:rsidR="00FD648F" w:rsidRPr="00920ED0" w:rsidRDefault="00FD648F" w:rsidP="00FD648F">
      <w:pPr>
        <w:numPr>
          <w:ilvl w:val="0"/>
          <w:numId w:val="3"/>
        </w:numPr>
        <w:ind w:left="567" w:hanging="425"/>
        <w:contextualSpacing/>
        <w:rPr>
          <w:rFonts w:ascii="Bookman Old Style" w:hAnsi="Bookman Old Style"/>
        </w:rPr>
      </w:pPr>
      <w:r w:rsidRPr="00920ED0">
        <w:rPr>
          <w:rFonts w:ascii="Bookman Old Style" w:hAnsi="Bookman Old Style"/>
        </w:rPr>
        <w:t>Antes de adoptar y aplicar medidas legislativas o administrativas que los afecten, a fin de obtener su consentimiento libre, previo e informado (art. 19 de la Declaración ONU).</w:t>
      </w:r>
    </w:p>
    <w:p w:rsidR="00FD648F" w:rsidRPr="00920ED0" w:rsidRDefault="00FD648F" w:rsidP="00FD648F">
      <w:pPr>
        <w:numPr>
          <w:ilvl w:val="0"/>
          <w:numId w:val="3"/>
        </w:numPr>
        <w:ind w:left="567" w:hanging="425"/>
        <w:contextualSpacing/>
        <w:rPr>
          <w:rFonts w:ascii="Bookman Old Style" w:hAnsi="Bookman Old Style"/>
        </w:rPr>
      </w:pPr>
      <w:r w:rsidRPr="00920ED0">
        <w:rPr>
          <w:rFonts w:ascii="Bookman Old Style" w:hAnsi="Bookman Old Style"/>
        </w:rPr>
        <w:t>Antes de aprobar cualquier proyecto que afecte a sus tierras o territorios y otros recursos, particularmente en relación con el desarrollo, la utilización o la explotación de recursos minerales, hídricos o de otro tipo (art. 32 de la Declaración de ONU).</w:t>
      </w:r>
    </w:p>
    <w:p w:rsidR="00FD648F" w:rsidRPr="00920ED0" w:rsidRDefault="00FD648F" w:rsidP="00FD648F">
      <w:pPr>
        <w:rPr>
          <w:rFonts w:ascii="Bookman Old Style" w:hAnsi="Bookman Old Style"/>
        </w:rPr>
      </w:pPr>
      <w:r w:rsidRPr="00920ED0">
        <w:rPr>
          <w:rFonts w:ascii="Bookman Old Style" w:hAnsi="Bookman Old Style"/>
        </w:rPr>
        <w:t>Los pueblos indígenas tienen derecho a: participar en la adopción de decisiones en las cuestiones que afecten a sus derechos, por medio de los representantes elegidos por ellos; y de conformidad con sus propios procedimientos, así como a mantener y desarrollar sus propias instituciones de adopción de decisiones (art. 18 de la Declaración ONU).</w:t>
      </w:r>
    </w:p>
    <w:p w:rsidR="00FD648F" w:rsidRPr="00920ED0" w:rsidRDefault="00FD648F" w:rsidP="00FD648F">
      <w:pPr>
        <w:rPr>
          <w:rFonts w:ascii="Bookman Old Style" w:hAnsi="Bookman Old Style"/>
        </w:rPr>
      </w:pPr>
      <w:r w:rsidRPr="00920ED0">
        <w:rPr>
          <w:rFonts w:ascii="Bookman Old Style" w:hAnsi="Bookman Old Style"/>
        </w:rPr>
        <w:t>La consulta debe realizarse de buena fe</w:t>
      </w:r>
      <w:r>
        <w:rPr>
          <w:rFonts w:ascii="Bookman Old Style" w:hAnsi="Bookman Old Style"/>
        </w:rPr>
        <w:t xml:space="preserve"> y </w:t>
      </w:r>
      <w:r w:rsidRPr="00920ED0">
        <w:rPr>
          <w:rFonts w:ascii="Bookman Old Style" w:hAnsi="Bookman Old Style"/>
        </w:rPr>
        <w:t>no debe ser un simple trámite, sino que debe garantizar una auténtica participación y un diálogo entre las partes, basado en la confianza y el respeto mu</w:t>
      </w:r>
      <w:r>
        <w:rPr>
          <w:rFonts w:ascii="Bookman Old Style" w:hAnsi="Bookman Old Style"/>
        </w:rPr>
        <w:t>tuos, para alcanzar un consenso</w:t>
      </w:r>
      <w:r w:rsidRPr="00920ED0">
        <w:rPr>
          <w:rFonts w:ascii="Bookman Old Style" w:hAnsi="Bookman Old Style"/>
        </w:rPr>
        <w:t xml:space="preserve"> (Art. 6.2 del Convenio 169 OIT)</w:t>
      </w:r>
      <w:r>
        <w:rPr>
          <w:rFonts w:ascii="Bookman Old Style" w:hAnsi="Bookman Old Style"/>
        </w:rPr>
        <w:t xml:space="preserve">. </w:t>
      </w:r>
      <w:r w:rsidRPr="00920ED0">
        <w:rPr>
          <w:rFonts w:ascii="Bookman Old Style" w:hAnsi="Bookman Old Style"/>
        </w:rPr>
        <w:t xml:space="preserve">La manera de hacerla es mediante un procedimiento culturalmente adecuado, con respeto de las costumbres y tradiciones comunitarias para debatir ideas y tomar decisiones. Una </w:t>
      </w:r>
      <w:r>
        <w:rPr>
          <w:rFonts w:ascii="Bookman Old Style" w:hAnsi="Bookman Old Style"/>
        </w:rPr>
        <w:t>vez, realizada la consulta, el e</w:t>
      </w:r>
      <w:r w:rsidRPr="00920ED0">
        <w:rPr>
          <w:rFonts w:ascii="Bookman Old Style" w:hAnsi="Bookman Old Style"/>
        </w:rPr>
        <w:t xml:space="preserve">stado queda obligado con los acuerdos alcanzados en el marco del proceso de consulta previa. </w:t>
      </w:r>
    </w:p>
    <w:p w:rsidR="00FD648F" w:rsidRPr="00920ED0" w:rsidRDefault="00FD648F" w:rsidP="00FD648F">
      <w:pPr>
        <w:rPr>
          <w:rFonts w:ascii="Bookman Old Style" w:hAnsi="Bookman Old Style"/>
          <w:b/>
        </w:rPr>
      </w:pPr>
      <w:r>
        <w:rPr>
          <w:rFonts w:ascii="Bookman Old Style" w:hAnsi="Bookman Old Style"/>
        </w:rPr>
        <w:t>L</w:t>
      </w:r>
      <w:r w:rsidRPr="00920ED0">
        <w:rPr>
          <w:rFonts w:ascii="Bookman Old Style" w:hAnsi="Bookman Old Style"/>
        </w:rPr>
        <w:t xml:space="preserve">a consulta no debe agotarse en un mero trámite formal. Debe ser un verdadero instrumento de participación […] que debe responder al objetivo último de establecer un diálogo entre las partes basado en principios de confianza y respeto mutuos, y con miras a alcanzar un consenso entre las </w:t>
      </w:r>
      <w:r w:rsidRPr="00920ED0">
        <w:rPr>
          <w:rFonts w:ascii="Bookman Old Style" w:hAnsi="Bookman Old Style"/>
        </w:rPr>
        <w:lastRenderedPageBreak/>
        <w:t xml:space="preserve">mismas (Corte IDH, Caso </w:t>
      </w:r>
      <w:proofErr w:type="spellStart"/>
      <w:r w:rsidRPr="00920ED0">
        <w:rPr>
          <w:rFonts w:ascii="Bookman Old Style" w:hAnsi="Bookman Old Style"/>
        </w:rPr>
        <w:t>Sarayaku</w:t>
      </w:r>
      <w:proofErr w:type="spellEnd"/>
      <w:r w:rsidRPr="00920ED0">
        <w:rPr>
          <w:rFonts w:ascii="Bookman Old Style" w:hAnsi="Bookman Old Style"/>
        </w:rPr>
        <w:t xml:space="preserve"> vs. Ecuador. Sentencia del 27 de junio de 2012, párr. 186).</w:t>
      </w:r>
    </w:p>
    <w:p w:rsidR="00FD648F" w:rsidRDefault="00FD648F" w:rsidP="00FD648F">
      <w:pPr>
        <w:rPr>
          <w:rFonts w:ascii="Bookman Old Style" w:hAnsi="Bookman Old Style"/>
        </w:rPr>
      </w:pPr>
      <w:r w:rsidRPr="00920ED0">
        <w:rPr>
          <w:rFonts w:ascii="Bookman Old Style" w:hAnsi="Bookman Old Style"/>
        </w:rPr>
        <w:t>De una manera apropiada a las circunstancias significa: a) con procedimientos cult</w:t>
      </w:r>
      <w:r>
        <w:rPr>
          <w:rFonts w:ascii="Bookman Old Style" w:hAnsi="Bookman Old Style"/>
        </w:rPr>
        <w:t>uralmente adecuados,</w:t>
      </w:r>
      <w:r w:rsidRPr="00920ED0">
        <w:rPr>
          <w:rFonts w:ascii="Bookman Old Style" w:hAnsi="Bookman Old Style"/>
        </w:rPr>
        <w:t xml:space="preserve"> a través de sus autoridades representativas elegidas de acuerdo a sus pautas culturales, (arts. 6.1 del Convenio 169)</w:t>
      </w:r>
      <w:r>
        <w:rPr>
          <w:rFonts w:ascii="Bookman Old Style" w:hAnsi="Bookman Old Style"/>
        </w:rPr>
        <w:t xml:space="preserve">, y </w:t>
      </w:r>
      <w:r w:rsidRPr="00920ED0">
        <w:rPr>
          <w:rFonts w:ascii="Bookman Old Style" w:hAnsi="Bookman Old Style"/>
        </w:rPr>
        <w:t>b) con la finalidad de llegar a un acuerdo o lograr el consentimiento acerca de las medidas propuestas (arts. 18 y 19 de la Declaración ONU</w:t>
      </w:r>
      <w:r w:rsidRPr="00FB2DC0">
        <w:rPr>
          <w:rFonts w:ascii="Bookman Old Style" w:hAnsi="Bookman Old Style"/>
        </w:rPr>
        <w:t>).</w:t>
      </w:r>
    </w:p>
    <w:p w:rsidR="009049A2" w:rsidRDefault="009049A2" w:rsidP="00FD648F">
      <w:pPr>
        <w:rPr>
          <w:rFonts w:ascii="Bookman Old Style" w:hAnsi="Bookman Old Style"/>
        </w:rPr>
      </w:pPr>
      <w:r>
        <w:rPr>
          <w:rFonts w:ascii="Bookman Old Style" w:hAnsi="Bookman Old Style"/>
        </w:rPr>
        <w:t xml:space="preserve">Informe elaborado por los Integrantes del Programa sobre Diversidad Cultural de la Defensoría General de la Nación: </w:t>
      </w:r>
      <w:r w:rsidR="002E33BF">
        <w:rPr>
          <w:rFonts w:ascii="Bookman Old Style" w:hAnsi="Bookman Old Style"/>
        </w:rPr>
        <w:t>Dres. Javier Azzali y Paula Barberi, la Sra. Barbara Carlotto y el suscripto.</w:t>
      </w:r>
    </w:p>
    <w:p w:rsidR="00065621" w:rsidRDefault="00065621" w:rsidP="00FD648F">
      <w:pPr>
        <w:rPr>
          <w:rFonts w:ascii="Bookman Old Style" w:hAnsi="Bookman Old Style"/>
        </w:rPr>
      </w:pPr>
    </w:p>
    <w:p w:rsidR="00FD648F" w:rsidRPr="002E33BF" w:rsidRDefault="00FD648F" w:rsidP="00FD648F">
      <w:pPr>
        <w:ind w:left="720"/>
        <w:contextualSpacing/>
        <w:rPr>
          <w:rFonts w:ascii="Bookman Old Style" w:hAnsi="Bookman Old Style"/>
        </w:rPr>
      </w:pPr>
    </w:p>
    <w:p w:rsidR="00FD648F" w:rsidRDefault="00B2367C" w:rsidP="00FD648F">
      <w:pPr>
        <w:ind w:left="720"/>
        <w:contextualSpacing/>
        <w:jc w:val="right"/>
        <w:rPr>
          <w:rFonts w:ascii="Bookman Old Style" w:hAnsi="Bookman Old Style"/>
          <w:lang w:val="es-ES_tradnl"/>
        </w:rPr>
      </w:pPr>
      <w:r>
        <w:rPr>
          <w:rFonts w:ascii="Bookman Old Style" w:hAnsi="Bookman Old Style"/>
          <w:lang w:val="es-ES_tradnl"/>
        </w:rPr>
        <w:t>Buenos Aires, 3 de julio de 2018</w:t>
      </w:r>
    </w:p>
    <w:p w:rsidR="00096936" w:rsidRPr="00920ED0" w:rsidRDefault="00096936" w:rsidP="00FD648F">
      <w:pPr>
        <w:ind w:left="720"/>
        <w:contextualSpacing/>
        <w:jc w:val="right"/>
        <w:rPr>
          <w:rFonts w:ascii="Bookman Old Style" w:hAnsi="Bookman Old Style"/>
          <w:lang w:val="es-ES_tradnl"/>
        </w:rPr>
      </w:pPr>
    </w:p>
    <w:p w:rsidR="00FD648F" w:rsidRPr="00920ED0" w:rsidRDefault="00FD648F" w:rsidP="00FD648F">
      <w:pPr>
        <w:ind w:left="720"/>
        <w:contextualSpacing/>
        <w:rPr>
          <w:rFonts w:ascii="Bookman Old Style" w:hAnsi="Bookman Old Style"/>
          <w:b/>
          <w:lang w:val="es-ES_tradnl"/>
        </w:rPr>
      </w:pPr>
    </w:p>
    <w:sectPr w:rsidR="00FD648F" w:rsidRPr="00920ED0" w:rsidSect="00FD648F">
      <w:headerReference w:type="default" r:id="rId8"/>
      <w:pgSz w:w="12242" w:h="20163" w:code="5"/>
      <w:pgMar w:top="1985" w:right="1701" w:bottom="1418" w:left="1701"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648F" w:rsidRDefault="00FD648F">
      <w:r>
        <w:separator/>
      </w:r>
    </w:p>
  </w:endnote>
  <w:endnote w:type="continuationSeparator" w:id="0">
    <w:p w:rsidR="00FD648F" w:rsidRDefault="00FD64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Kunstler Script">
    <w:panose1 w:val="030304020206070D0D06"/>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DDKAMK+Arial">
    <w:altName w:val="Arial"/>
    <w:panose1 w:val="00000000000000000000"/>
    <w:charset w:val="00"/>
    <w:family w:val="swiss"/>
    <w:notTrueType/>
    <w:pitch w:val="default"/>
    <w:sig w:usb0="00000003" w:usb1="00000000" w:usb2="00000000" w:usb3="00000000" w:csb0="00000001" w:csb1="00000000"/>
  </w:font>
  <w:font w:name="Signet Roundhand ATT">
    <w:altName w:val="Mistral"/>
    <w:charset w:val="00"/>
    <w:family w:val="script"/>
    <w:pitch w:val="variable"/>
    <w:sig w:usb0="00000001" w:usb1="00000000" w:usb2="00000000" w:usb3="00000000" w:csb0="00000013" w:csb1="00000000"/>
  </w:font>
  <w:font w:name="Signet Roundhand">
    <w:altName w:val="Courier New"/>
    <w:charset w:val="00"/>
    <w:family w:val="script"/>
    <w:pitch w:val="variable"/>
    <w:sig w:usb0="8000002F" w:usb1="00000048" w:usb2="00000000" w:usb3="00000000" w:csb0="0000001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648F" w:rsidRDefault="00FD648F">
      <w:r>
        <w:separator/>
      </w:r>
    </w:p>
  </w:footnote>
  <w:footnote w:type="continuationSeparator" w:id="0">
    <w:p w:rsidR="00FD648F" w:rsidRDefault="00FD648F">
      <w:r>
        <w:continuationSeparator/>
      </w:r>
    </w:p>
  </w:footnote>
  <w:footnote w:id="1">
    <w:p w:rsidR="00FD648F" w:rsidRPr="00373685" w:rsidRDefault="00FD648F" w:rsidP="00373685">
      <w:pPr>
        <w:spacing w:line="240" w:lineRule="auto"/>
        <w:rPr>
          <w:rFonts w:ascii="Bookman Old Style" w:hAnsi="Bookman Old Style"/>
          <w:sz w:val="20"/>
          <w:szCs w:val="20"/>
        </w:rPr>
      </w:pPr>
      <w:r w:rsidRPr="00373685">
        <w:rPr>
          <w:rStyle w:val="Refdenotaalpie"/>
          <w:rFonts w:ascii="Bookman Old Style" w:hAnsi="Bookman Old Style"/>
          <w:sz w:val="20"/>
          <w:szCs w:val="20"/>
        </w:rPr>
        <w:footnoteRef/>
      </w:r>
      <w:r w:rsidRPr="00373685">
        <w:rPr>
          <w:rFonts w:ascii="Bookman Old Style" w:hAnsi="Bookman Old Style"/>
          <w:sz w:val="20"/>
          <w:szCs w:val="20"/>
        </w:rPr>
        <w:t xml:space="preserve"> Disponible en: http://naturaljustice.org/wp-content/uploads/2015/12/Kachi-Yupi-Huellas.pdf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4107" w:rsidRPr="00AB4365" w:rsidRDefault="002D4107">
    <w:pPr>
      <w:pStyle w:val="Encabezado"/>
      <w:ind w:right="-374"/>
      <w:rPr>
        <w:rFonts w:ascii="Book Antiqua" w:hAnsi="Book Antiqua"/>
        <w:sz w:val="24"/>
        <w:szCs w:val="24"/>
      </w:rPr>
    </w:pPr>
    <w:r w:rsidRPr="00AB4365">
      <w:rPr>
        <w:rFonts w:ascii="Book Antiqua" w:hAnsi="Book Antiqua"/>
        <w:sz w:val="24"/>
        <w:szCs w:val="24"/>
      </w:rPr>
      <w:t xml:space="preserve"> </w:t>
    </w:r>
  </w:p>
  <w:p w:rsidR="00D211A0" w:rsidRPr="00AB4365" w:rsidRDefault="00FD648F">
    <w:pPr>
      <w:pStyle w:val="Encabezado"/>
      <w:ind w:right="-374"/>
      <w:rPr>
        <w:rFonts w:ascii="Signet Roundhand ATT" w:hAnsi="Signet Roundhand ATT"/>
        <w:lang w:val="es-MX"/>
      </w:rPr>
    </w:pPr>
    <w:r>
      <w:rPr>
        <w:noProof/>
        <w:lang w:val="es-AR" w:eastAsia="es-AR"/>
      </w:rPr>
      <mc:AlternateContent>
        <mc:Choice Requires="wps">
          <w:drawing>
            <wp:anchor distT="0" distB="0" distL="114300" distR="114300" simplePos="0" relativeHeight="251658240" behindDoc="0" locked="0" layoutInCell="1" allowOverlap="1" wp14:anchorId="279E1E40" wp14:editId="77FB4328">
              <wp:simplePos x="0" y="0"/>
              <wp:positionH relativeFrom="column">
                <wp:posOffset>3515360</wp:posOffset>
              </wp:positionH>
              <wp:positionV relativeFrom="paragraph">
                <wp:posOffset>255270</wp:posOffset>
              </wp:positionV>
              <wp:extent cx="2595880" cy="588645"/>
              <wp:effectExtent l="635" t="0" r="3810" b="3810"/>
              <wp:wrapNone/>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5880" cy="5886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D5961" w:rsidRPr="008F2999" w:rsidRDefault="00DD5961" w:rsidP="00DD5961">
                          <w:pPr>
                            <w:jc w:val="center"/>
                            <w:rPr>
                              <w:rFonts w:ascii="Book Antiqua" w:hAnsi="Book Antiqua"/>
                              <w:sz w:val="20"/>
                              <w:szCs w:val="20"/>
                              <w:lang w:val="es-AR"/>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79E1E40" id="_x0000_t202" coordsize="21600,21600" o:spt="202" path="m,l,21600r21600,l21600,xe">
              <v:stroke joinstyle="miter"/>
              <v:path gradientshapeok="t" o:connecttype="rect"/>
            </v:shapetype>
            <v:shape id="Cuadro de texto 2" o:spid="_x0000_s1026" type="#_x0000_t202" style="position:absolute;left:0;text-align:left;margin-left:276.8pt;margin-top:20.1pt;width:204.4pt;height:46.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" stroked="f">
              <v:textbox>
                <w:txbxContent>
                  <w:p w:rsidR="00DD5961" w:rsidRPr="008F2999" w:rsidRDefault="00DD5961" w:rsidP="00DD5961">
                    <w:pPr>
                      <w:jc w:val="center"/>
                      <w:rPr>
                        <w:rFonts w:ascii="Book Antiqua" w:hAnsi="Book Antiqua"/>
                        <w:sz w:val="20"/>
                        <w:szCs w:val="20"/>
                        <w:lang w:val="es-AR"/>
                      </w:rPr>
                    </w:pPr>
                  </w:p>
                </w:txbxContent>
              </v:textbox>
            </v:shape>
          </w:pict>
        </mc:Fallback>
      </mc:AlternateContent>
    </w:r>
    <w:r>
      <w:rPr>
        <w:noProof/>
        <w:lang w:val="es-AR" w:eastAsia="es-AR"/>
      </w:rPr>
      <w:drawing>
        <wp:inline distT="0" distB="0" distL="0" distR="0" wp14:anchorId="7D4C416D" wp14:editId="7176E203">
          <wp:extent cx="523875" cy="92392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3875" cy="923925"/>
                  </a:xfrm>
                  <a:prstGeom prst="rect">
                    <a:avLst/>
                  </a:prstGeom>
                  <a:noFill/>
                  <a:ln>
                    <a:noFill/>
                  </a:ln>
                </pic:spPr>
              </pic:pic>
            </a:graphicData>
          </a:graphic>
        </wp:inline>
      </w:drawing>
    </w:r>
  </w:p>
  <w:p w:rsidR="00D211A0" w:rsidRDefault="00D211A0">
    <w:pPr>
      <w:pStyle w:val="Encabezado"/>
      <w:rPr>
        <w:lang w:val="es-MX"/>
      </w:rPr>
    </w:pPr>
    <w:r>
      <w:rPr>
        <w:lang w:val="es-MX"/>
      </w:rPr>
      <w:t xml:space="preserve">Ministerio Público de </w:t>
    </w:r>
    <w:smartTag w:uri="urn:schemas-microsoft-com:office:smarttags" w:element="PersonName">
      <w:smartTagPr>
        <w:attr w:name="ProductID" w:val="la Defensa"/>
      </w:smartTagPr>
      <w:r>
        <w:rPr>
          <w:lang w:val="es-MX"/>
        </w:rPr>
        <w:t>la Defensa</w:t>
      </w:r>
    </w:smartTag>
  </w:p>
  <w:p w:rsidR="00D211A0" w:rsidRDefault="00FD648F">
    <w:pPr>
      <w:pStyle w:val="Encabezado"/>
      <w:ind w:right="-374"/>
      <w:rPr>
        <w:bCs/>
        <w:sz w:val="44"/>
        <w:lang w:val="es-MX"/>
      </w:rPr>
    </w:pPr>
    <w:r>
      <w:rPr>
        <w:bCs/>
        <w:noProof/>
        <w:lang w:val="es-AR" w:eastAsia="es-AR"/>
      </w:rPr>
      <mc:AlternateContent>
        <mc:Choice Requires="wps">
          <w:drawing>
            <wp:anchor distT="0" distB="0" distL="114300" distR="114300" simplePos="0" relativeHeight="251657216" behindDoc="1" locked="0" layoutInCell="1" allowOverlap="1" wp14:anchorId="78C9912F" wp14:editId="67D3C144">
              <wp:simplePos x="0" y="0"/>
              <wp:positionH relativeFrom="column">
                <wp:posOffset>-628650</wp:posOffset>
              </wp:positionH>
              <wp:positionV relativeFrom="paragraph">
                <wp:posOffset>387985</wp:posOffset>
              </wp:positionV>
              <wp:extent cx="914400" cy="10698480"/>
              <wp:effectExtent l="0" t="0" r="0" b="635"/>
              <wp:wrapTight wrapText="largest">
                <wp:wrapPolygon edited="0">
                  <wp:start x="-375" y="0"/>
                  <wp:lineTo x="-375" y="21581"/>
                  <wp:lineTo x="21600" y="21581"/>
                  <wp:lineTo x="21600" y="0"/>
                  <wp:lineTo x="-375" y="0"/>
                </wp:wrapPolygon>
              </wp:wrapTight>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0698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0" w:type="dxa"/>
                            <w:tblLayout w:type="fixed"/>
                            <w:tblCellMar>
                              <w:left w:w="70" w:type="dxa"/>
                              <w:right w:w="70" w:type="dxa"/>
                            </w:tblCellMar>
                            <w:tblLook w:val="0000" w:firstRow="0" w:lastRow="0" w:firstColumn="0" w:lastColumn="0" w:noHBand="0" w:noVBand="0"/>
                          </w:tblPr>
                          <w:tblGrid>
                            <w:gridCol w:w="1276"/>
                          </w:tblGrid>
                          <w:tr w:rsidR="00D211A0">
                            <w:trPr>
                              <w:cantSplit/>
                              <w:trHeight w:val="15986"/>
                            </w:trPr>
                            <w:tc>
                              <w:tcPr>
                                <w:tcW w:w="1276" w:type="dxa"/>
                                <w:textDirection w:val="btLr"/>
                                <w:vAlign w:val="center"/>
                              </w:tcPr>
                              <w:p w:rsidR="00D211A0" w:rsidRDefault="00D211A0">
                                <w:pPr>
                                  <w:ind w:left="113" w:right="113"/>
                                  <w:jc w:val="center"/>
                                  <w:rPr>
                                    <w:rFonts w:ascii="Signet Roundhand" w:hAnsi="Signet Roundhand"/>
                                    <w:sz w:val="32"/>
                                  </w:rPr>
                                </w:pPr>
                                <w:r>
                                  <w:rPr>
                                    <w:spacing w:val="44"/>
                                    <w:sz w:val="28"/>
                                  </w:rPr>
                                  <w:t>USO OFICIAL</w:t>
                                </w:r>
                              </w:p>
                            </w:tc>
                          </w:tr>
                        </w:tbl>
                        <w:p w:rsidR="00D211A0" w:rsidRDefault="00D211A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C9912F" id="_x0000_t202" coordsize="21600,21600" o:spt="202" path="m,l,21600r21600,l21600,xe">
              <v:stroke joinstyle="miter"/>
              <v:path gradientshapeok="t" o:connecttype="rect"/>
            </v:shapetype>
            <v:shape id="Text Box 1" o:spid="_x0000_s1027" type="#_x0000_t202" style="position:absolute;left:0;text-align:left;margin-left:-49.5pt;margin-top:30.55pt;width:1in;height:84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" stroked="f">
              <v:textbox>
                <w:txbxContent>
                  <w:tbl>
                    <w:tblPr>
                      <w:tblW w:w="0" w:type="auto"/>
                      <w:tblInd w:w="70" w:type="dxa"/>
                      <w:tblLayout w:type="fixed"/>
                      <w:tblCellMar>
                        <w:left w:w="70" w:type="dxa"/>
                        <w:right w:w="70" w:type="dxa"/>
                      </w:tblCellMar>
                      <w:tblLook w:val="0000" w:firstRow="0" w:lastRow="0" w:firstColumn="0" w:lastColumn="0" w:noHBand="0" w:noVBand="0"/>
                    </w:tblPr>
                    <w:tblGrid>
                      <w:gridCol w:w="1276"/>
                    </w:tblGrid>
                    <w:tr w:rsidR="00D211A0">
                      <w:trPr>
                        <w:cantSplit/>
                        <w:trHeight w:val="15986"/>
                      </w:trPr>
                      <w:tc>
                        <w:tcPr>
                          <w:tcW w:w="1276" w:type="dxa"/>
                          <w:textDirection w:val="btLr"/>
                          <w:vAlign w:val="center"/>
                        </w:tcPr>
                        <w:p w:rsidR="00D211A0" w:rsidRDefault="00D211A0">
                          <w:pPr>
                            <w:ind w:left="113" w:right="113"/>
                            <w:jc w:val="center"/>
                            <w:rPr>
                              <w:rFonts w:ascii="Signet Roundhand" w:hAnsi="Signet Roundhand"/>
                              <w:sz w:val="32"/>
                            </w:rPr>
                          </w:pPr>
                          <w:r>
                            <w:rPr>
                              <w:spacing w:val="44"/>
                              <w:sz w:val="28"/>
                            </w:rPr>
                            <w:t>USO OFICIAL</w:t>
                          </w:r>
                        </w:p>
                      </w:tc>
                    </w:tr>
                  </w:tbl>
                  <w:p w:rsidR="00D211A0" w:rsidRDefault="00D211A0"/>
                </w:txbxContent>
              </v:textbox>
              <w10:wrap type="tight" side="largest"/>
            </v:shape>
          </w:pict>
        </mc:Fallback>
      </mc:AlternateContent>
    </w:r>
    <w:r w:rsidR="00D211A0">
      <w:rPr>
        <w:bCs/>
        <w:spacing w:val="20"/>
        <w:lang w:val="es-MX"/>
      </w:rPr>
      <w:t xml:space="preserve">Defensoría General de </w:t>
    </w:r>
    <w:smartTag w:uri="urn:schemas-microsoft-com:office:smarttags" w:element="PersonName">
      <w:smartTagPr>
        <w:attr w:name="ProductID" w:val="la Nación"/>
      </w:smartTagPr>
      <w:r w:rsidR="00D211A0">
        <w:rPr>
          <w:bCs/>
          <w:spacing w:val="20"/>
          <w:lang w:val="es-MX"/>
        </w:rPr>
        <w:t>la Nación</w:t>
      </w:r>
    </w:smartTag>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B31351"/>
    <w:multiLevelType w:val="hybridMultilevel"/>
    <w:tmpl w:val="859C28A4"/>
    <w:lvl w:ilvl="0" w:tplc="C75A4800">
      <w:numFmt w:val="bullet"/>
      <w:lvlText w:val="-"/>
      <w:lvlJc w:val="left"/>
      <w:pPr>
        <w:ind w:left="1065" w:hanging="705"/>
      </w:pPr>
      <w:rPr>
        <w:rFonts w:ascii="Book Antiqua" w:eastAsia="Calibri" w:hAnsi="Book Antiqu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352201E"/>
    <w:multiLevelType w:val="hybridMultilevel"/>
    <w:tmpl w:val="3C82D48E"/>
    <w:lvl w:ilvl="0" w:tplc="FA5063C0">
      <w:numFmt w:val="bullet"/>
      <w:lvlText w:val="-"/>
      <w:lvlJc w:val="left"/>
      <w:pPr>
        <w:ind w:left="2345" w:hanging="360"/>
      </w:pPr>
      <w:rPr>
        <w:rFonts w:ascii="Book Antiqua" w:eastAsia="Times New Roman" w:hAnsi="Book Antiqua" w:cs="Times New Roman" w:hint="default"/>
      </w:rPr>
    </w:lvl>
    <w:lvl w:ilvl="1" w:tplc="2C0A0003" w:tentative="1">
      <w:start w:val="1"/>
      <w:numFmt w:val="bullet"/>
      <w:lvlText w:val="o"/>
      <w:lvlJc w:val="left"/>
      <w:pPr>
        <w:ind w:left="3065" w:hanging="360"/>
      </w:pPr>
      <w:rPr>
        <w:rFonts w:ascii="Courier New" w:hAnsi="Courier New" w:cs="Courier New" w:hint="default"/>
      </w:rPr>
    </w:lvl>
    <w:lvl w:ilvl="2" w:tplc="2C0A0005" w:tentative="1">
      <w:start w:val="1"/>
      <w:numFmt w:val="bullet"/>
      <w:lvlText w:val=""/>
      <w:lvlJc w:val="left"/>
      <w:pPr>
        <w:ind w:left="3785" w:hanging="360"/>
      </w:pPr>
      <w:rPr>
        <w:rFonts w:ascii="Wingdings" w:hAnsi="Wingdings" w:hint="default"/>
      </w:rPr>
    </w:lvl>
    <w:lvl w:ilvl="3" w:tplc="2C0A0001" w:tentative="1">
      <w:start w:val="1"/>
      <w:numFmt w:val="bullet"/>
      <w:lvlText w:val=""/>
      <w:lvlJc w:val="left"/>
      <w:pPr>
        <w:ind w:left="4505" w:hanging="360"/>
      </w:pPr>
      <w:rPr>
        <w:rFonts w:ascii="Symbol" w:hAnsi="Symbol" w:hint="default"/>
      </w:rPr>
    </w:lvl>
    <w:lvl w:ilvl="4" w:tplc="2C0A0003" w:tentative="1">
      <w:start w:val="1"/>
      <w:numFmt w:val="bullet"/>
      <w:lvlText w:val="o"/>
      <w:lvlJc w:val="left"/>
      <w:pPr>
        <w:ind w:left="5225" w:hanging="360"/>
      </w:pPr>
      <w:rPr>
        <w:rFonts w:ascii="Courier New" w:hAnsi="Courier New" w:cs="Courier New" w:hint="default"/>
      </w:rPr>
    </w:lvl>
    <w:lvl w:ilvl="5" w:tplc="2C0A0005" w:tentative="1">
      <w:start w:val="1"/>
      <w:numFmt w:val="bullet"/>
      <w:lvlText w:val=""/>
      <w:lvlJc w:val="left"/>
      <w:pPr>
        <w:ind w:left="5945" w:hanging="360"/>
      </w:pPr>
      <w:rPr>
        <w:rFonts w:ascii="Wingdings" w:hAnsi="Wingdings" w:hint="default"/>
      </w:rPr>
    </w:lvl>
    <w:lvl w:ilvl="6" w:tplc="2C0A0001" w:tentative="1">
      <w:start w:val="1"/>
      <w:numFmt w:val="bullet"/>
      <w:lvlText w:val=""/>
      <w:lvlJc w:val="left"/>
      <w:pPr>
        <w:ind w:left="6665" w:hanging="360"/>
      </w:pPr>
      <w:rPr>
        <w:rFonts w:ascii="Symbol" w:hAnsi="Symbol" w:hint="default"/>
      </w:rPr>
    </w:lvl>
    <w:lvl w:ilvl="7" w:tplc="2C0A0003" w:tentative="1">
      <w:start w:val="1"/>
      <w:numFmt w:val="bullet"/>
      <w:lvlText w:val="o"/>
      <w:lvlJc w:val="left"/>
      <w:pPr>
        <w:ind w:left="7385" w:hanging="360"/>
      </w:pPr>
      <w:rPr>
        <w:rFonts w:ascii="Courier New" w:hAnsi="Courier New" w:cs="Courier New" w:hint="default"/>
      </w:rPr>
    </w:lvl>
    <w:lvl w:ilvl="8" w:tplc="2C0A0005" w:tentative="1">
      <w:start w:val="1"/>
      <w:numFmt w:val="bullet"/>
      <w:lvlText w:val=""/>
      <w:lvlJc w:val="left"/>
      <w:pPr>
        <w:ind w:left="8105" w:hanging="360"/>
      </w:pPr>
      <w:rPr>
        <w:rFonts w:ascii="Wingdings" w:hAnsi="Wingdings" w:hint="default"/>
      </w:rPr>
    </w:lvl>
  </w:abstractNum>
  <w:abstractNum w:abstractNumId="2" w15:restartNumberingAfterBreak="0">
    <w:nsid w:val="4AB3675C"/>
    <w:multiLevelType w:val="hybridMultilevel"/>
    <w:tmpl w:val="205E222E"/>
    <w:lvl w:ilvl="0" w:tplc="1EBC8C84">
      <w:numFmt w:val="bullet"/>
      <w:lvlText w:val="-"/>
      <w:lvlJc w:val="left"/>
      <w:pPr>
        <w:ind w:left="2628" w:hanging="360"/>
      </w:pPr>
      <w:rPr>
        <w:rFonts w:ascii="Book Antiqua" w:eastAsia="Times New Roman" w:hAnsi="Book Antiqua" w:cs="Times New Roman" w:hint="default"/>
      </w:rPr>
    </w:lvl>
    <w:lvl w:ilvl="1" w:tplc="2C0A0003" w:tentative="1">
      <w:start w:val="1"/>
      <w:numFmt w:val="bullet"/>
      <w:lvlText w:val="o"/>
      <w:lvlJc w:val="left"/>
      <w:pPr>
        <w:ind w:left="3348" w:hanging="360"/>
      </w:pPr>
      <w:rPr>
        <w:rFonts w:ascii="Courier New" w:hAnsi="Courier New" w:cs="Courier New" w:hint="default"/>
      </w:rPr>
    </w:lvl>
    <w:lvl w:ilvl="2" w:tplc="2C0A0005" w:tentative="1">
      <w:start w:val="1"/>
      <w:numFmt w:val="bullet"/>
      <w:lvlText w:val=""/>
      <w:lvlJc w:val="left"/>
      <w:pPr>
        <w:ind w:left="4068" w:hanging="360"/>
      </w:pPr>
      <w:rPr>
        <w:rFonts w:ascii="Wingdings" w:hAnsi="Wingdings" w:hint="default"/>
      </w:rPr>
    </w:lvl>
    <w:lvl w:ilvl="3" w:tplc="2C0A0001" w:tentative="1">
      <w:start w:val="1"/>
      <w:numFmt w:val="bullet"/>
      <w:lvlText w:val=""/>
      <w:lvlJc w:val="left"/>
      <w:pPr>
        <w:ind w:left="4788" w:hanging="360"/>
      </w:pPr>
      <w:rPr>
        <w:rFonts w:ascii="Symbol" w:hAnsi="Symbol" w:hint="default"/>
      </w:rPr>
    </w:lvl>
    <w:lvl w:ilvl="4" w:tplc="2C0A0003" w:tentative="1">
      <w:start w:val="1"/>
      <w:numFmt w:val="bullet"/>
      <w:lvlText w:val="o"/>
      <w:lvlJc w:val="left"/>
      <w:pPr>
        <w:ind w:left="5508" w:hanging="360"/>
      </w:pPr>
      <w:rPr>
        <w:rFonts w:ascii="Courier New" w:hAnsi="Courier New" w:cs="Courier New" w:hint="default"/>
      </w:rPr>
    </w:lvl>
    <w:lvl w:ilvl="5" w:tplc="2C0A0005" w:tentative="1">
      <w:start w:val="1"/>
      <w:numFmt w:val="bullet"/>
      <w:lvlText w:val=""/>
      <w:lvlJc w:val="left"/>
      <w:pPr>
        <w:ind w:left="6228" w:hanging="360"/>
      </w:pPr>
      <w:rPr>
        <w:rFonts w:ascii="Wingdings" w:hAnsi="Wingdings" w:hint="default"/>
      </w:rPr>
    </w:lvl>
    <w:lvl w:ilvl="6" w:tplc="2C0A0001" w:tentative="1">
      <w:start w:val="1"/>
      <w:numFmt w:val="bullet"/>
      <w:lvlText w:val=""/>
      <w:lvlJc w:val="left"/>
      <w:pPr>
        <w:ind w:left="6948" w:hanging="360"/>
      </w:pPr>
      <w:rPr>
        <w:rFonts w:ascii="Symbol" w:hAnsi="Symbol" w:hint="default"/>
      </w:rPr>
    </w:lvl>
    <w:lvl w:ilvl="7" w:tplc="2C0A0003" w:tentative="1">
      <w:start w:val="1"/>
      <w:numFmt w:val="bullet"/>
      <w:lvlText w:val="o"/>
      <w:lvlJc w:val="left"/>
      <w:pPr>
        <w:ind w:left="7668" w:hanging="360"/>
      </w:pPr>
      <w:rPr>
        <w:rFonts w:ascii="Courier New" w:hAnsi="Courier New" w:cs="Courier New" w:hint="default"/>
      </w:rPr>
    </w:lvl>
    <w:lvl w:ilvl="8" w:tplc="2C0A0005" w:tentative="1">
      <w:start w:val="1"/>
      <w:numFmt w:val="bullet"/>
      <w:lvlText w:val=""/>
      <w:lvlJc w:val="left"/>
      <w:pPr>
        <w:ind w:left="8388" w:hanging="360"/>
      </w:pPr>
      <w:rPr>
        <w:rFonts w:ascii="Wingdings" w:hAnsi="Wingdings" w:hint="default"/>
      </w:rPr>
    </w:lvl>
  </w:abstractNum>
  <w:abstractNum w:abstractNumId="3" w15:restartNumberingAfterBreak="0">
    <w:nsid w:val="7659010B"/>
    <w:multiLevelType w:val="hybridMultilevel"/>
    <w:tmpl w:val="52E2295C"/>
    <w:lvl w:ilvl="0" w:tplc="FDB80608">
      <w:start w:val="1"/>
      <w:numFmt w:val="decimal"/>
      <w:lvlText w:val="%1."/>
      <w:lvlJc w:val="left"/>
      <w:pPr>
        <w:ind w:left="720"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48F"/>
    <w:rsid w:val="00010C4C"/>
    <w:rsid w:val="00017080"/>
    <w:rsid w:val="00065621"/>
    <w:rsid w:val="00086064"/>
    <w:rsid w:val="00096936"/>
    <w:rsid w:val="000C2261"/>
    <w:rsid w:val="000D31EB"/>
    <w:rsid w:val="000D3E40"/>
    <w:rsid w:val="000F7A56"/>
    <w:rsid w:val="00112881"/>
    <w:rsid w:val="00164775"/>
    <w:rsid w:val="00172A5C"/>
    <w:rsid w:val="00177821"/>
    <w:rsid w:val="001B499F"/>
    <w:rsid w:val="001B79AE"/>
    <w:rsid w:val="001C6EFF"/>
    <w:rsid w:val="001E4C96"/>
    <w:rsid w:val="001F2F92"/>
    <w:rsid w:val="001F508F"/>
    <w:rsid w:val="00207B8C"/>
    <w:rsid w:val="00224084"/>
    <w:rsid w:val="00231DAC"/>
    <w:rsid w:val="002559CA"/>
    <w:rsid w:val="002622B8"/>
    <w:rsid w:val="00265628"/>
    <w:rsid w:val="00266CD2"/>
    <w:rsid w:val="0026779F"/>
    <w:rsid w:val="0027081C"/>
    <w:rsid w:val="0029472D"/>
    <w:rsid w:val="00295D5D"/>
    <w:rsid w:val="002979F8"/>
    <w:rsid w:val="002B33E8"/>
    <w:rsid w:val="002B5F3E"/>
    <w:rsid w:val="002C2C90"/>
    <w:rsid w:val="002C5A12"/>
    <w:rsid w:val="002C5E61"/>
    <w:rsid w:val="002C6E4D"/>
    <w:rsid w:val="002C7FBA"/>
    <w:rsid w:val="002D4107"/>
    <w:rsid w:val="002E33BF"/>
    <w:rsid w:val="002F3DB8"/>
    <w:rsid w:val="00313F89"/>
    <w:rsid w:val="00321691"/>
    <w:rsid w:val="003244C5"/>
    <w:rsid w:val="00325CDA"/>
    <w:rsid w:val="00354378"/>
    <w:rsid w:val="0036721F"/>
    <w:rsid w:val="00373685"/>
    <w:rsid w:val="00386B58"/>
    <w:rsid w:val="003C3BDF"/>
    <w:rsid w:val="003F75BC"/>
    <w:rsid w:val="00406F4F"/>
    <w:rsid w:val="00424F39"/>
    <w:rsid w:val="00446C97"/>
    <w:rsid w:val="00454F63"/>
    <w:rsid w:val="0046566F"/>
    <w:rsid w:val="00486173"/>
    <w:rsid w:val="00495DC5"/>
    <w:rsid w:val="00563D15"/>
    <w:rsid w:val="0056527B"/>
    <w:rsid w:val="00586BCE"/>
    <w:rsid w:val="00586EC5"/>
    <w:rsid w:val="00596D7C"/>
    <w:rsid w:val="005A1148"/>
    <w:rsid w:val="005A414E"/>
    <w:rsid w:val="005B64CF"/>
    <w:rsid w:val="005C3342"/>
    <w:rsid w:val="005F771C"/>
    <w:rsid w:val="0063148A"/>
    <w:rsid w:val="0065739C"/>
    <w:rsid w:val="006626AC"/>
    <w:rsid w:val="0066712F"/>
    <w:rsid w:val="006812D7"/>
    <w:rsid w:val="006823ED"/>
    <w:rsid w:val="00687D03"/>
    <w:rsid w:val="006A26A5"/>
    <w:rsid w:val="006B2158"/>
    <w:rsid w:val="006C5CDE"/>
    <w:rsid w:val="00712556"/>
    <w:rsid w:val="00727B56"/>
    <w:rsid w:val="00770761"/>
    <w:rsid w:val="00772761"/>
    <w:rsid w:val="00793CB2"/>
    <w:rsid w:val="007A357E"/>
    <w:rsid w:val="007B1626"/>
    <w:rsid w:val="007C36A5"/>
    <w:rsid w:val="0081003D"/>
    <w:rsid w:val="00810FC1"/>
    <w:rsid w:val="00814767"/>
    <w:rsid w:val="0082610C"/>
    <w:rsid w:val="00850CE7"/>
    <w:rsid w:val="00873830"/>
    <w:rsid w:val="0089291A"/>
    <w:rsid w:val="00897147"/>
    <w:rsid w:val="008B146D"/>
    <w:rsid w:val="008B4766"/>
    <w:rsid w:val="008C755A"/>
    <w:rsid w:val="008F2999"/>
    <w:rsid w:val="009049A2"/>
    <w:rsid w:val="00904C10"/>
    <w:rsid w:val="00947EF2"/>
    <w:rsid w:val="00952B81"/>
    <w:rsid w:val="009A5BFB"/>
    <w:rsid w:val="009F4D43"/>
    <w:rsid w:val="00A009FE"/>
    <w:rsid w:val="00A127A0"/>
    <w:rsid w:val="00A4607B"/>
    <w:rsid w:val="00A51034"/>
    <w:rsid w:val="00A65D76"/>
    <w:rsid w:val="00AB4365"/>
    <w:rsid w:val="00AD5929"/>
    <w:rsid w:val="00AD6209"/>
    <w:rsid w:val="00AE1287"/>
    <w:rsid w:val="00AE7107"/>
    <w:rsid w:val="00B03B18"/>
    <w:rsid w:val="00B04802"/>
    <w:rsid w:val="00B12CCB"/>
    <w:rsid w:val="00B2308C"/>
    <w:rsid w:val="00B2367C"/>
    <w:rsid w:val="00B970DA"/>
    <w:rsid w:val="00BD2F13"/>
    <w:rsid w:val="00BD3656"/>
    <w:rsid w:val="00C03B8D"/>
    <w:rsid w:val="00C454B0"/>
    <w:rsid w:val="00C70E78"/>
    <w:rsid w:val="00C86EDB"/>
    <w:rsid w:val="00C96F41"/>
    <w:rsid w:val="00CA3613"/>
    <w:rsid w:val="00CB185B"/>
    <w:rsid w:val="00CC04C0"/>
    <w:rsid w:val="00CD1A18"/>
    <w:rsid w:val="00CF30CC"/>
    <w:rsid w:val="00CF66FB"/>
    <w:rsid w:val="00D211A0"/>
    <w:rsid w:val="00D22A1D"/>
    <w:rsid w:val="00D4789B"/>
    <w:rsid w:val="00D52535"/>
    <w:rsid w:val="00D94678"/>
    <w:rsid w:val="00DC08C9"/>
    <w:rsid w:val="00DC0D63"/>
    <w:rsid w:val="00DC6BB7"/>
    <w:rsid w:val="00DD4281"/>
    <w:rsid w:val="00DD5961"/>
    <w:rsid w:val="00DE0B5C"/>
    <w:rsid w:val="00DE5959"/>
    <w:rsid w:val="00DE6F76"/>
    <w:rsid w:val="00E04F40"/>
    <w:rsid w:val="00E06BDB"/>
    <w:rsid w:val="00E10F41"/>
    <w:rsid w:val="00E14E51"/>
    <w:rsid w:val="00E97A50"/>
    <w:rsid w:val="00EC22B3"/>
    <w:rsid w:val="00ED3C2C"/>
    <w:rsid w:val="00EE6780"/>
    <w:rsid w:val="00F12BFF"/>
    <w:rsid w:val="00F26368"/>
    <w:rsid w:val="00F33298"/>
    <w:rsid w:val="00F523A1"/>
    <w:rsid w:val="00F53F55"/>
    <w:rsid w:val="00F55344"/>
    <w:rsid w:val="00F60E26"/>
    <w:rsid w:val="00FA533A"/>
    <w:rsid w:val="00FA744D"/>
    <w:rsid w:val="00FC4901"/>
    <w:rsid w:val="00FD37EB"/>
    <w:rsid w:val="00FD5B07"/>
    <w:rsid w:val="00FD648F"/>
    <w:rsid w:val="00FE1DF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2289"/>
    <o:shapelayout v:ext="edit">
      <o:idmap v:ext="edit" data="1"/>
    </o:shapelayout>
  </w:shapeDefaults>
  <w:decimalSymbol w:val=","/>
  <w:listSeparator w:val=","/>
  <w15:docId w15:val="{CB58C2BE-FC8B-4449-9302-5EDF502C2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648F"/>
    <w:pPr>
      <w:spacing w:line="360" w:lineRule="auto"/>
      <w:jc w:val="both"/>
    </w:pPr>
    <w:rPr>
      <w:rFonts w:ascii="Arial" w:hAnsi="Arial"/>
      <w:sz w:val="24"/>
      <w:szCs w:val="24"/>
      <w:lang w:val="es-ES" w:eastAsia="es-ES"/>
    </w:rPr>
  </w:style>
  <w:style w:type="paragraph" w:styleId="Ttulo1">
    <w:name w:val="heading 1"/>
    <w:basedOn w:val="Normal"/>
    <w:next w:val="Normal"/>
    <w:qFormat/>
    <w:pPr>
      <w:keepNext/>
      <w:outlineLvl w:val="0"/>
    </w:pPr>
    <w:rPr>
      <w:sz w:val="28"/>
    </w:rPr>
  </w:style>
  <w:style w:type="paragraph" w:styleId="Ttulo4">
    <w:name w:val="heading 4"/>
    <w:basedOn w:val="Normal"/>
    <w:next w:val="Normal"/>
    <w:link w:val="Ttulo4Car"/>
    <w:semiHidden/>
    <w:unhideWhenUsed/>
    <w:qFormat/>
    <w:rsid w:val="00FD648F"/>
    <w:pPr>
      <w:keepNext/>
      <w:keepLines/>
      <w:spacing w:before="200"/>
      <w:outlineLvl w:val="3"/>
    </w:pPr>
    <w:rPr>
      <w:rFonts w:ascii="Calibri Light" w:hAnsi="Calibri Light"/>
      <w:b/>
      <w:bCs/>
      <w:i/>
      <w:iCs/>
      <w:color w:val="5B9BD5"/>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419"/>
        <w:tab w:val="right" w:pos="8838"/>
      </w:tabs>
      <w:spacing w:line="240" w:lineRule="auto"/>
      <w:jc w:val="center"/>
    </w:pPr>
    <w:rPr>
      <w:rFonts w:ascii="Kunstler Script" w:hAnsi="Kunstler Script"/>
      <w:b/>
      <w:sz w:val="48"/>
      <w:szCs w:val="20"/>
    </w:rPr>
  </w:style>
  <w:style w:type="paragraph" w:styleId="Piedepgina">
    <w:name w:val="footer"/>
    <w:basedOn w:val="Normal"/>
    <w:pPr>
      <w:tabs>
        <w:tab w:val="center" w:pos="4419"/>
        <w:tab w:val="right" w:pos="8838"/>
      </w:tabs>
    </w:pPr>
    <w:rPr>
      <w:sz w:val="20"/>
      <w:szCs w:val="20"/>
    </w:rPr>
  </w:style>
  <w:style w:type="paragraph" w:styleId="Textodeglobo">
    <w:name w:val="Balloon Text"/>
    <w:basedOn w:val="Normal"/>
    <w:link w:val="TextodegloboCar"/>
    <w:rsid w:val="008F2999"/>
    <w:pPr>
      <w:spacing w:line="240" w:lineRule="auto"/>
    </w:pPr>
    <w:rPr>
      <w:rFonts w:ascii="Tahoma" w:hAnsi="Tahoma" w:cs="Tahoma"/>
      <w:sz w:val="16"/>
      <w:szCs w:val="16"/>
    </w:rPr>
  </w:style>
  <w:style w:type="character" w:customStyle="1" w:styleId="TextodegloboCar">
    <w:name w:val="Texto de globo Car"/>
    <w:link w:val="Textodeglobo"/>
    <w:rsid w:val="008F2999"/>
    <w:rPr>
      <w:rFonts w:ascii="Tahoma" w:hAnsi="Tahoma" w:cs="Tahoma"/>
      <w:sz w:val="16"/>
      <w:szCs w:val="16"/>
      <w:lang w:val="es-ES" w:eastAsia="es-ES"/>
    </w:rPr>
  </w:style>
  <w:style w:type="character" w:customStyle="1" w:styleId="Ttulo4Car">
    <w:name w:val="Título 4 Car"/>
    <w:basedOn w:val="Fuentedeprrafopredeter"/>
    <w:link w:val="Ttulo4"/>
    <w:semiHidden/>
    <w:rsid w:val="00FD648F"/>
    <w:rPr>
      <w:rFonts w:ascii="Calibri Light" w:hAnsi="Calibri Light"/>
      <w:b/>
      <w:bCs/>
      <w:i/>
      <w:iCs/>
      <w:color w:val="5B9BD5"/>
      <w:sz w:val="24"/>
      <w:szCs w:val="24"/>
      <w:lang w:val="es-ES" w:eastAsia="es-ES"/>
    </w:rPr>
  </w:style>
  <w:style w:type="paragraph" w:styleId="Textonotapie">
    <w:name w:val="footnote text"/>
    <w:basedOn w:val="Normal"/>
    <w:link w:val="TextonotapieCar"/>
    <w:uiPriority w:val="99"/>
    <w:unhideWhenUsed/>
    <w:rsid w:val="00FD648F"/>
    <w:pPr>
      <w:spacing w:line="240" w:lineRule="auto"/>
      <w:jc w:val="left"/>
    </w:pPr>
    <w:rPr>
      <w:rFonts w:ascii="Calibri" w:eastAsia="Calibri" w:hAnsi="Calibri"/>
      <w:sz w:val="20"/>
      <w:szCs w:val="20"/>
      <w:lang w:val="x-none" w:eastAsia="x-none"/>
    </w:rPr>
  </w:style>
  <w:style w:type="character" w:customStyle="1" w:styleId="TextonotapieCar">
    <w:name w:val="Texto nota pie Car"/>
    <w:basedOn w:val="Fuentedeprrafopredeter"/>
    <w:link w:val="Textonotapie"/>
    <w:uiPriority w:val="99"/>
    <w:rsid w:val="00FD648F"/>
    <w:rPr>
      <w:rFonts w:ascii="Calibri" w:eastAsia="Calibri" w:hAnsi="Calibri"/>
      <w:lang w:val="x-none" w:eastAsia="x-none"/>
    </w:rPr>
  </w:style>
  <w:style w:type="character" w:styleId="Refdenotaalpie">
    <w:name w:val="footnote reference"/>
    <w:uiPriority w:val="99"/>
    <w:unhideWhenUsed/>
    <w:rsid w:val="00FD648F"/>
    <w:rPr>
      <w:vertAlign w:val="superscript"/>
    </w:rPr>
  </w:style>
  <w:style w:type="paragraph" w:customStyle="1" w:styleId="Default">
    <w:name w:val="Default"/>
    <w:rsid w:val="00FD648F"/>
    <w:pPr>
      <w:autoSpaceDE w:val="0"/>
      <w:autoSpaceDN w:val="0"/>
      <w:adjustRightInd w:val="0"/>
    </w:pPr>
    <w:rPr>
      <w:rFonts w:ascii="Calibri" w:eastAsia="Calibri" w:hAnsi="Calibri" w:cs="Calibri"/>
      <w:color w:val="000000"/>
      <w:sz w:val="24"/>
      <w:szCs w:val="24"/>
      <w:lang w:val="es-ES" w:eastAsia="es-ES"/>
    </w:rPr>
  </w:style>
  <w:style w:type="paragraph" w:styleId="Prrafodelista">
    <w:name w:val="List Paragraph"/>
    <w:basedOn w:val="Normal"/>
    <w:uiPriority w:val="34"/>
    <w:qFormat/>
    <w:rsid w:val="00FD648F"/>
    <w:pPr>
      <w:spacing w:after="200" w:line="276" w:lineRule="auto"/>
      <w:ind w:left="720"/>
      <w:contextualSpacing/>
      <w:jc w:val="left"/>
    </w:pPr>
    <w:rPr>
      <w:rFonts w:ascii="Calibri" w:eastAsia="Calibri" w:hAnsi="Calibri"/>
      <w:sz w:val="22"/>
      <w:szCs w:val="22"/>
      <w:lang w:val="es-A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7831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O:\Secretaria%20de%20Politica%20Institucional\Programa%20sobre%20Diversidad%20Cultural\ADMINISTRACI&#211;N%20INTERNA%20PSDC\Uso%20oficial%20DGN%202016.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42C563-F445-49C5-84E5-D83C0DE7A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Uso oficial DGN 2016</Template>
  <TotalTime>3</TotalTime>
  <Pages>7</Pages>
  <Words>2327</Words>
  <Characters>12254</Characters>
  <Application>Microsoft Office Word</Application>
  <DocSecurity>0</DocSecurity>
  <Lines>102</Lines>
  <Paragraphs>29</Paragraphs>
  <ScaleCrop>false</ScaleCrop>
  <HeadingPairs>
    <vt:vector size="2" baseType="variant">
      <vt:variant>
        <vt:lpstr>Título</vt:lpstr>
      </vt:variant>
      <vt:variant>
        <vt:i4>1</vt:i4>
      </vt:variant>
    </vt:vector>
  </HeadingPairs>
  <TitlesOfParts>
    <vt:vector size="1" baseType="lpstr">
      <vt:lpstr/>
    </vt:vector>
  </TitlesOfParts>
  <Company>Ministerio Publico de la Defensa</Company>
  <LinksUpToDate>false</LinksUpToDate>
  <CharactersWithSpaces>14552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BARBERI PAULA SABRINA</dc:creator>
  <cp:lastModifiedBy>Barbara Estela Carlotto</cp:lastModifiedBy>
  <cp:revision>2</cp:revision>
  <cp:lastPrinted>2018-07-03T18:46:00Z</cp:lastPrinted>
  <dcterms:created xsi:type="dcterms:W3CDTF">2019-06-18T14:35:00Z</dcterms:created>
  <dcterms:modified xsi:type="dcterms:W3CDTF">2019-06-18T14:35:00Z</dcterms:modified>
</cp:coreProperties>
</file>